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5667" w:firstLineChars="2352"/>
        <w:jc w:val="left"/>
        <w:rPr>
          <w:rFonts w:ascii="宋体" w:hAnsi="宋体" w:eastAsia="宋体"/>
          <w:b/>
          <w:sz w:val="24"/>
          <w:szCs w:val="24"/>
        </w:rPr>
      </w:pPr>
    </w:p>
    <w:p>
      <w:pPr>
        <w:spacing w:line="276" w:lineRule="auto"/>
        <w:ind w:firstLine="5667" w:firstLineChars="2352"/>
        <w:jc w:val="left"/>
        <w:rPr>
          <w:rFonts w:ascii="宋体" w:hAnsi="宋体" w:eastAsia="宋体"/>
          <w:b/>
          <w:sz w:val="24"/>
          <w:szCs w:val="24"/>
        </w:rPr>
      </w:pPr>
      <w:r>
        <w:rPr>
          <w:rFonts w:hint="eastAsia" w:ascii="宋体" w:hAnsi="宋体" w:eastAsia="宋体"/>
          <w:b/>
          <w:sz w:val="24"/>
          <w:szCs w:val="24"/>
        </w:rPr>
        <w:t>合同编号：</w:t>
      </w:r>
    </w:p>
    <w:p/>
    <w:p/>
    <w:p>
      <w:pPr>
        <w:jc w:val="center"/>
        <w:rPr>
          <w:rFonts w:ascii="黑体" w:hAnsi="黑体" w:eastAsia="黑体"/>
          <w:b/>
          <w:sz w:val="52"/>
          <w:szCs w:val="52"/>
        </w:rPr>
      </w:pPr>
      <w:r>
        <w:rPr>
          <w:rFonts w:hint="eastAsia" w:ascii="黑体" w:hAnsi="黑体" w:eastAsia="黑体"/>
          <w:b/>
          <w:sz w:val="52"/>
          <w:szCs w:val="52"/>
        </w:rPr>
        <w:t xml:space="preserve">服 务 </w:t>
      </w:r>
      <w:r>
        <w:rPr>
          <w:rFonts w:ascii="黑体" w:hAnsi="黑体" w:eastAsia="黑体"/>
          <w:b/>
          <w:sz w:val="52"/>
          <w:szCs w:val="52"/>
        </w:rPr>
        <w:t>认 证 合 同</w:t>
      </w:r>
    </w:p>
    <w:p>
      <w:pPr>
        <w:spacing w:line="720" w:lineRule="auto"/>
        <w:jc w:val="left"/>
        <w:rPr>
          <w:rFonts w:ascii="黑体" w:hAnsi="黑体" w:eastAsia="黑体"/>
          <w:b/>
          <w:sz w:val="30"/>
          <w:szCs w:val="30"/>
        </w:rPr>
      </w:pPr>
      <w:r>
        <w:rPr>
          <w:rFonts w:ascii="黑体" w:hAnsi="黑体" w:eastAsia="黑体"/>
          <w:b/>
          <w:sz w:val="30"/>
          <w:szCs w:val="30"/>
        </w:rPr>
        <w:t>甲</w:t>
      </w:r>
      <w:r>
        <w:rPr>
          <w:rFonts w:hint="eastAsia" w:ascii="黑体" w:hAnsi="黑体" w:eastAsia="黑体"/>
          <w:b/>
          <w:sz w:val="30"/>
          <w:szCs w:val="30"/>
        </w:rPr>
        <w:t xml:space="preserve">  </w:t>
      </w:r>
      <w:r>
        <w:rPr>
          <w:rFonts w:ascii="黑体" w:hAnsi="黑体" w:eastAsia="黑体"/>
          <w:b/>
          <w:sz w:val="30"/>
          <w:szCs w:val="30"/>
        </w:rPr>
        <w:t>方：</w:t>
      </w:r>
    </w:p>
    <w:tbl>
      <w:tblPr>
        <w:tblStyle w:val="7"/>
        <w:tblW w:w="9498" w:type="dxa"/>
        <w:tblInd w:w="0" w:type="dxa"/>
        <w:tblLayout w:type="fixed"/>
        <w:tblCellMar>
          <w:top w:w="0" w:type="dxa"/>
          <w:left w:w="108" w:type="dxa"/>
          <w:bottom w:w="0" w:type="dxa"/>
          <w:right w:w="108" w:type="dxa"/>
        </w:tblCellMar>
      </w:tblPr>
      <w:tblGrid>
        <w:gridCol w:w="4253"/>
        <w:gridCol w:w="5245"/>
      </w:tblGrid>
      <w:tr>
        <w:tblPrEx>
          <w:tblCellMar>
            <w:top w:w="0" w:type="dxa"/>
            <w:left w:w="108" w:type="dxa"/>
            <w:bottom w:w="0" w:type="dxa"/>
            <w:right w:w="108" w:type="dxa"/>
          </w:tblCellMar>
        </w:tblPrEx>
        <w:tc>
          <w:tcPr>
            <w:tcW w:w="4253" w:type="dxa"/>
          </w:tcPr>
          <w:p>
            <w:pPr>
              <w:spacing w:line="720" w:lineRule="auto"/>
              <w:jc w:val="left"/>
              <w:rPr>
                <w:rFonts w:ascii="黑体" w:hAnsi="黑体" w:eastAsia="黑体"/>
                <w:b/>
                <w:sz w:val="30"/>
                <w:szCs w:val="30"/>
              </w:rPr>
            </w:pPr>
            <w:r>
              <w:rPr>
                <w:rFonts w:ascii="黑体" w:hAnsi="黑体" w:eastAsia="黑体"/>
                <w:b/>
                <w:sz w:val="30"/>
                <w:szCs w:val="30"/>
              </w:rPr>
              <w:t>联系人：</w:t>
            </w:r>
          </w:p>
          <w:p>
            <w:pPr>
              <w:spacing w:line="720" w:lineRule="auto"/>
              <w:ind w:left="-105" w:leftChars="-50"/>
              <w:jc w:val="left"/>
              <w:rPr>
                <w:rFonts w:ascii="黑体" w:hAnsi="黑体" w:eastAsia="黑体"/>
                <w:b/>
                <w:sz w:val="30"/>
                <w:szCs w:val="30"/>
              </w:rPr>
            </w:pPr>
            <w:r>
              <w:rPr>
                <w:rFonts w:hint="eastAsia" w:ascii="黑体" w:hAnsi="黑体" w:eastAsia="黑体"/>
                <w:b/>
                <w:sz w:val="30"/>
                <w:szCs w:val="30"/>
              </w:rPr>
              <w:t xml:space="preserve"> </w:t>
            </w:r>
            <w:r>
              <w:rPr>
                <w:rFonts w:ascii="黑体" w:hAnsi="黑体" w:eastAsia="黑体"/>
                <w:b/>
                <w:sz w:val="30"/>
                <w:szCs w:val="30"/>
              </w:rPr>
              <w:t xml:space="preserve">电  话：                     </w:t>
            </w:r>
          </w:p>
        </w:tc>
        <w:tc>
          <w:tcPr>
            <w:tcW w:w="5245" w:type="dxa"/>
          </w:tcPr>
          <w:p>
            <w:pPr>
              <w:spacing w:line="720" w:lineRule="auto"/>
              <w:ind w:firstLine="1205" w:firstLineChars="400"/>
              <w:jc w:val="left"/>
              <w:rPr>
                <w:rFonts w:ascii="黑体" w:hAnsi="黑体" w:eastAsia="黑体"/>
                <w:b/>
                <w:sz w:val="30"/>
                <w:szCs w:val="30"/>
              </w:rPr>
            </w:pPr>
            <w:r>
              <w:rPr>
                <w:rFonts w:hint="eastAsia" w:ascii="黑体" w:hAnsi="黑体" w:eastAsia="黑体"/>
                <w:b/>
                <w:sz w:val="30"/>
                <w:szCs w:val="30"/>
              </w:rPr>
              <w:t>微信号</w:t>
            </w:r>
            <w:r>
              <w:rPr>
                <w:rFonts w:ascii="黑体" w:hAnsi="黑体" w:eastAsia="黑体"/>
                <w:b/>
                <w:sz w:val="30"/>
                <w:szCs w:val="30"/>
              </w:rPr>
              <w:t>：</w:t>
            </w:r>
          </w:p>
        </w:tc>
      </w:tr>
    </w:tbl>
    <w:p>
      <w:pPr>
        <w:spacing w:line="720" w:lineRule="auto"/>
        <w:jc w:val="left"/>
        <w:rPr>
          <w:rFonts w:ascii="黑体" w:hAnsi="黑体" w:eastAsia="黑体"/>
          <w:b/>
          <w:sz w:val="30"/>
          <w:szCs w:val="30"/>
        </w:rPr>
      </w:pPr>
    </w:p>
    <w:p>
      <w:pPr>
        <w:spacing w:line="720" w:lineRule="auto"/>
        <w:jc w:val="left"/>
        <w:rPr>
          <w:rFonts w:ascii="黑体" w:hAnsi="黑体" w:eastAsia="黑体"/>
          <w:b/>
          <w:sz w:val="30"/>
          <w:szCs w:val="30"/>
        </w:rPr>
      </w:pPr>
      <w:r>
        <w:rPr>
          <w:rFonts w:ascii="黑体" w:hAnsi="黑体" w:eastAsia="黑体"/>
          <w:b/>
          <w:sz w:val="30"/>
          <w:szCs w:val="30"/>
        </w:rPr>
        <w:t>乙</w:t>
      </w:r>
      <w:r>
        <w:rPr>
          <w:rFonts w:hint="eastAsia" w:ascii="黑体" w:hAnsi="黑体" w:eastAsia="黑体"/>
          <w:b/>
          <w:sz w:val="30"/>
          <w:szCs w:val="30"/>
        </w:rPr>
        <w:t xml:space="preserve">  </w:t>
      </w:r>
      <w:r>
        <w:rPr>
          <w:rFonts w:ascii="黑体" w:hAnsi="黑体" w:eastAsia="黑体"/>
          <w:b/>
          <w:sz w:val="30"/>
          <w:szCs w:val="30"/>
        </w:rPr>
        <w:t>方：</w:t>
      </w:r>
      <w:r>
        <w:rPr>
          <w:rFonts w:hint="eastAsia" w:ascii="宋体" w:hAnsi="宋体" w:eastAsia="宋体"/>
          <w:sz w:val="30"/>
          <w:szCs w:val="30"/>
        </w:rPr>
        <w:t>北京中鼎乾元认证有限公司</w:t>
      </w:r>
    </w:p>
    <w:p>
      <w:pPr>
        <w:spacing w:line="720" w:lineRule="auto"/>
        <w:jc w:val="left"/>
        <w:rPr>
          <w:rFonts w:ascii="黑体" w:hAnsi="黑体" w:eastAsia="黑体"/>
          <w:b/>
          <w:sz w:val="30"/>
          <w:szCs w:val="30"/>
        </w:rPr>
      </w:pPr>
      <w:r>
        <w:rPr>
          <w:rFonts w:ascii="黑体" w:hAnsi="黑体" w:eastAsia="黑体"/>
          <w:b/>
          <w:sz w:val="30"/>
          <w:szCs w:val="30"/>
        </w:rPr>
        <w:t>地  址：</w:t>
      </w:r>
      <w:r>
        <w:rPr>
          <w:rFonts w:hint="eastAsia" w:ascii="宋体" w:hAnsi="宋体" w:eastAsia="宋体"/>
          <w:sz w:val="30"/>
          <w:szCs w:val="30"/>
        </w:rPr>
        <w:t>北京市朝阳区东四环中路78号楼7层8B03</w:t>
      </w:r>
    </w:p>
    <w:p>
      <w:pPr>
        <w:spacing w:line="720" w:lineRule="auto"/>
        <w:jc w:val="left"/>
        <w:rPr>
          <w:rFonts w:ascii="黑体" w:hAnsi="黑体" w:eastAsia="黑体"/>
          <w:b/>
          <w:sz w:val="30"/>
          <w:szCs w:val="30"/>
        </w:rPr>
      </w:pPr>
      <w:r>
        <w:rPr>
          <w:rFonts w:hint="eastAsia" w:ascii="黑体" w:hAnsi="黑体" w:eastAsia="黑体"/>
          <w:b/>
          <w:sz w:val="30"/>
          <w:szCs w:val="30"/>
        </w:rPr>
        <w:t>开户行</w:t>
      </w:r>
      <w:r>
        <w:rPr>
          <w:rFonts w:ascii="黑体" w:hAnsi="黑体" w:eastAsia="黑体"/>
          <w:b/>
          <w:sz w:val="30"/>
          <w:szCs w:val="30"/>
        </w:rPr>
        <w:t xml:space="preserve">: </w:t>
      </w:r>
      <w:r>
        <w:rPr>
          <w:rFonts w:ascii="宋体" w:hAnsi="宋体" w:eastAsia="宋体"/>
          <w:sz w:val="30"/>
          <w:szCs w:val="30"/>
        </w:rPr>
        <w:t xml:space="preserve">招商银行股份有限公司北京建国路支行    </w:t>
      </w:r>
    </w:p>
    <w:p>
      <w:pPr>
        <w:spacing w:line="720" w:lineRule="auto"/>
        <w:jc w:val="left"/>
        <w:rPr>
          <w:rFonts w:ascii="黑体" w:hAnsi="黑体" w:eastAsia="黑体"/>
          <w:b/>
          <w:sz w:val="30"/>
          <w:szCs w:val="30"/>
        </w:rPr>
      </w:pPr>
      <w:r>
        <w:rPr>
          <w:rFonts w:hint="eastAsia" w:ascii="黑体" w:hAnsi="黑体" w:eastAsia="黑体"/>
          <w:b/>
          <w:sz w:val="30"/>
          <w:szCs w:val="30"/>
        </w:rPr>
        <w:t>账  号</w:t>
      </w:r>
      <w:r>
        <w:rPr>
          <w:rFonts w:ascii="黑体" w:hAnsi="黑体" w:eastAsia="黑体"/>
          <w:b/>
          <w:sz w:val="30"/>
          <w:szCs w:val="30"/>
        </w:rPr>
        <w:t xml:space="preserve">: </w:t>
      </w:r>
      <w:r>
        <w:rPr>
          <w:rFonts w:ascii="宋体" w:hAnsi="宋体" w:eastAsia="宋体"/>
          <w:sz w:val="30"/>
          <w:szCs w:val="30"/>
        </w:rPr>
        <w:t>110935778910101</w:t>
      </w:r>
    </w:p>
    <w:tbl>
      <w:tblPr>
        <w:tblStyle w:val="7"/>
        <w:tblW w:w="9038" w:type="dxa"/>
        <w:tblInd w:w="0" w:type="dxa"/>
        <w:tblLayout w:type="fixed"/>
        <w:tblCellMar>
          <w:top w:w="0" w:type="dxa"/>
          <w:left w:w="108" w:type="dxa"/>
          <w:bottom w:w="0" w:type="dxa"/>
          <w:right w:w="108" w:type="dxa"/>
        </w:tblCellMar>
      </w:tblPr>
      <w:tblGrid>
        <w:gridCol w:w="3510"/>
        <w:gridCol w:w="5528"/>
      </w:tblGrid>
      <w:tr>
        <w:tblPrEx>
          <w:tblCellMar>
            <w:top w:w="0" w:type="dxa"/>
            <w:left w:w="108" w:type="dxa"/>
            <w:bottom w:w="0" w:type="dxa"/>
            <w:right w:w="108" w:type="dxa"/>
          </w:tblCellMar>
        </w:tblPrEx>
        <w:tc>
          <w:tcPr>
            <w:tcW w:w="3398" w:type="dxa"/>
          </w:tcPr>
          <w:p>
            <w:pPr>
              <w:spacing w:line="720" w:lineRule="auto"/>
              <w:ind w:left="-105" w:leftChars="-50"/>
              <w:jc w:val="left"/>
              <w:rPr>
                <w:rFonts w:ascii="黑体" w:hAnsi="黑体" w:eastAsia="黑体"/>
                <w:b/>
                <w:sz w:val="30"/>
                <w:szCs w:val="30"/>
              </w:rPr>
            </w:pPr>
            <w:r>
              <w:rPr>
                <w:rFonts w:hint="eastAsia" w:ascii="黑体" w:hAnsi="黑体" w:eastAsia="黑体"/>
                <w:b/>
                <w:sz w:val="30"/>
                <w:szCs w:val="30"/>
              </w:rPr>
              <w:t xml:space="preserve"> </w:t>
            </w:r>
            <w:r>
              <w:rPr>
                <w:rFonts w:ascii="黑体" w:hAnsi="黑体" w:eastAsia="黑体"/>
                <w:b/>
                <w:sz w:val="30"/>
                <w:szCs w:val="30"/>
              </w:rPr>
              <w:t xml:space="preserve">电  话： </w:t>
            </w:r>
            <w:r>
              <w:rPr>
                <w:rFonts w:hint="eastAsia" w:ascii="宋体" w:hAnsi="宋体" w:eastAsia="宋体"/>
                <w:sz w:val="30"/>
                <w:szCs w:val="30"/>
              </w:rPr>
              <w:t>010-</w:t>
            </w:r>
            <w:r>
              <w:rPr>
                <w:rFonts w:ascii="宋体" w:hAnsi="宋体" w:eastAsia="宋体"/>
                <w:sz w:val="30"/>
                <w:szCs w:val="30"/>
              </w:rPr>
              <w:t xml:space="preserve">53381281 </w:t>
            </w:r>
          </w:p>
        </w:tc>
        <w:tc>
          <w:tcPr>
            <w:tcW w:w="5352" w:type="dxa"/>
          </w:tcPr>
          <w:p>
            <w:pPr>
              <w:spacing w:line="720" w:lineRule="auto"/>
              <w:ind w:firstLine="1205" w:firstLineChars="400"/>
              <w:jc w:val="left"/>
              <w:rPr>
                <w:rFonts w:ascii="黑体" w:hAnsi="黑体" w:eastAsia="黑体"/>
                <w:b/>
                <w:sz w:val="30"/>
                <w:szCs w:val="30"/>
              </w:rPr>
            </w:pPr>
            <w:r>
              <w:rPr>
                <w:rFonts w:ascii="黑体" w:hAnsi="黑体" w:eastAsia="黑体"/>
                <w:b/>
                <w:sz w:val="30"/>
                <w:szCs w:val="30"/>
              </w:rPr>
              <w:drawing>
                <wp:anchor distT="0" distB="0" distL="114300" distR="114300" simplePos="0" relativeHeight="251659264" behindDoc="0" locked="0" layoutInCell="1" allowOverlap="1">
                  <wp:simplePos x="0" y="0"/>
                  <wp:positionH relativeFrom="column">
                    <wp:posOffset>1654175</wp:posOffset>
                  </wp:positionH>
                  <wp:positionV relativeFrom="paragraph">
                    <wp:posOffset>-88265</wp:posOffset>
                  </wp:positionV>
                  <wp:extent cx="800100" cy="8001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0100" cy="800100"/>
                          </a:xfrm>
                          <a:prstGeom prst="rect">
                            <a:avLst/>
                          </a:prstGeom>
                        </pic:spPr>
                      </pic:pic>
                    </a:graphicData>
                  </a:graphic>
                </wp:anchor>
              </w:drawing>
            </w:r>
            <w:r>
              <w:rPr>
                <w:rFonts w:hint="eastAsia" w:ascii="黑体" w:hAnsi="黑体" w:eastAsia="黑体"/>
                <w:b/>
                <w:sz w:val="30"/>
                <w:szCs w:val="30"/>
              </w:rPr>
              <w:t>微信号</w:t>
            </w:r>
            <w:r>
              <w:rPr>
                <w:rFonts w:ascii="黑体" w:hAnsi="黑体" w:eastAsia="黑体"/>
                <w:b/>
                <w:sz w:val="30"/>
                <w:szCs w:val="30"/>
              </w:rPr>
              <w:t>：</w:t>
            </w:r>
          </w:p>
        </w:tc>
      </w:tr>
    </w:tbl>
    <w:p>
      <w:pPr>
        <w:spacing w:line="276" w:lineRule="auto"/>
        <w:jc w:val="left"/>
        <w:rPr>
          <w:rFonts w:ascii="宋体" w:hAnsi="宋体" w:eastAsia="宋体"/>
          <w:sz w:val="24"/>
          <w:szCs w:val="24"/>
        </w:rPr>
      </w:pPr>
    </w:p>
    <w:p>
      <w:pPr>
        <w:spacing w:line="276" w:lineRule="auto"/>
        <w:jc w:val="left"/>
        <w:rPr>
          <w:rFonts w:ascii="宋体" w:hAnsi="宋体" w:eastAsia="宋体"/>
          <w:sz w:val="24"/>
          <w:szCs w:val="24"/>
        </w:rPr>
      </w:pPr>
    </w:p>
    <w:p>
      <w:pPr>
        <w:spacing w:line="276" w:lineRule="auto"/>
        <w:jc w:val="left"/>
        <w:rPr>
          <w:rFonts w:ascii="宋体" w:hAnsi="宋体" w:eastAsia="宋体"/>
          <w:sz w:val="24"/>
          <w:szCs w:val="24"/>
        </w:rPr>
      </w:pPr>
    </w:p>
    <w:p>
      <w:pPr>
        <w:spacing w:line="276" w:lineRule="auto"/>
        <w:jc w:val="left"/>
        <w:rPr>
          <w:rFonts w:ascii="宋体" w:hAnsi="宋体" w:eastAsia="宋体"/>
          <w:sz w:val="24"/>
          <w:szCs w:val="24"/>
        </w:rPr>
      </w:pPr>
    </w:p>
    <w:p>
      <w:pPr>
        <w:spacing w:line="276" w:lineRule="auto"/>
        <w:jc w:val="left"/>
        <w:rPr>
          <w:rFonts w:ascii="宋体" w:hAnsi="宋体" w:eastAsia="宋体"/>
          <w:sz w:val="24"/>
          <w:szCs w:val="24"/>
        </w:rPr>
      </w:pPr>
    </w:p>
    <w:p>
      <w:pPr>
        <w:tabs>
          <w:tab w:val="left" w:pos="0"/>
        </w:tabs>
        <w:spacing w:line="360" w:lineRule="exact"/>
        <w:jc w:val="center"/>
        <w:rPr>
          <w:rFonts w:ascii="黑体" w:hAnsi="黑体" w:eastAsia="黑体"/>
          <w:b/>
          <w:sz w:val="28"/>
          <w:szCs w:val="28"/>
        </w:rPr>
      </w:pPr>
      <w:r>
        <w:rPr>
          <w:rFonts w:hint="eastAsia" w:ascii="黑体" w:hAnsi="黑体" w:eastAsia="黑体"/>
          <w:b/>
          <w:sz w:val="28"/>
          <w:szCs w:val="28"/>
        </w:rPr>
        <w:t>□初 次                          □再认证</w:t>
      </w:r>
    </w:p>
    <w:p>
      <w:pPr>
        <w:spacing w:line="360" w:lineRule="auto"/>
        <w:ind w:left="960" w:hanging="960" w:hangingChars="400"/>
        <w:jc w:val="left"/>
        <w:rPr>
          <w:rFonts w:ascii="宋体" w:hAnsi="宋体" w:eastAsia="宋体"/>
          <w:sz w:val="24"/>
          <w:szCs w:val="24"/>
        </w:rPr>
      </w:pPr>
    </w:p>
    <w:p>
      <w:pPr>
        <w:spacing w:line="360" w:lineRule="auto"/>
        <w:ind w:left="960" w:hanging="960" w:hangingChars="400"/>
        <w:jc w:val="left"/>
        <w:rPr>
          <w:rFonts w:ascii="宋体" w:hAnsi="宋体" w:eastAsia="宋体"/>
          <w:sz w:val="24"/>
          <w:szCs w:val="24"/>
        </w:rPr>
      </w:pPr>
    </w:p>
    <w:p>
      <w:pPr>
        <w:spacing w:line="360" w:lineRule="auto"/>
        <w:ind w:left="960" w:hanging="960" w:hangingChars="400"/>
        <w:jc w:val="left"/>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spacing w:line="360" w:lineRule="auto"/>
        <w:ind w:left="960" w:hanging="960" w:hangingChars="400"/>
        <w:jc w:val="left"/>
        <w:rPr>
          <w:rFonts w:ascii="宋体" w:hAnsi="宋体" w:eastAsia="宋体"/>
          <w:sz w:val="24"/>
          <w:szCs w:val="24"/>
        </w:rPr>
      </w:pPr>
      <w:r>
        <w:rPr>
          <w:rFonts w:hint="eastAsia" w:ascii="宋体" w:hAnsi="宋体" w:eastAsia="宋体"/>
          <w:sz w:val="24"/>
          <w:szCs w:val="24"/>
        </w:rPr>
        <w:t>第一条 按照《中华人民共和国民法典》的相关规定，经双方平等协商，就甲方委托乙方对其服务认证进行的申请达成一致意见，签订本合同，双方共同遵守履行。双方确认，在签订本合同之前，已经充分知悉并了解本合同全部定义、条款之内容。</w:t>
      </w:r>
    </w:p>
    <w:p>
      <w:pPr>
        <w:spacing w:line="360" w:lineRule="auto"/>
        <w:jc w:val="left"/>
        <w:rPr>
          <w:rFonts w:ascii="宋体" w:hAnsi="宋体" w:eastAsia="宋体"/>
          <w:sz w:val="24"/>
          <w:szCs w:val="24"/>
        </w:rPr>
      </w:pPr>
      <w:r>
        <w:rPr>
          <w:rFonts w:hint="eastAsia" w:ascii="宋体" w:hAnsi="宋体" w:eastAsia="宋体"/>
          <w:sz w:val="24"/>
          <w:szCs w:val="24"/>
        </w:rPr>
        <w:t>第二条 认证所依据的服务评价标准：</w:t>
      </w:r>
    </w:p>
    <w:p>
      <w:pPr>
        <w:spacing w:line="360" w:lineRule="auto"/>
        <w:ind w:firstLine="1320" w:firstLineChars="550"/>
        <w:jc w:val="left"/>
        <w:rPr>
          <w:rFonts w:ascii="宋体" w:hAnsi="宋体" w:eastAsia="宋体"/>
          <w:sz w:val="24"/>
          <w:szCs w:val="24"/>
        </w:rPr>
      </w:pPr>
      <w:r>
        <w:rPr>
          <w:rFonts w:hint="eastAsia" w:ascii="宋体" w:hAnsi="宋体" w:eastAsia="宋体"/>
          <w:sz w:val="24"/>
          <w:szCs w:val="24"/>
        </w:rPr>
        <w:t>商品售后服务评价：□ GB/T 27922-2011；</w:t>
      </w:r>
    </w:p>
    <w:p>
      <w:pPr>
        <w:spacing w:line="360" w:lineRule="auto"/>
        <w:ind w:firstLine="840" w:firstLineChars="350"/>
        <w:jc w:val="left"/>
        <w:rPr>
          <w:rFonts w:ascii="宋体" w:hAnsi="宋体" w:eastAsia="宋体"/>
          <w:sz w:val="24"/>
          <w:szCs w:val="24"/>
        </w:rPr>
      </w:pPr>
      <w:r>
        <w:rPr>
          <w:rFonts w:hint="eastAsia" w:ascii="宋体" w:hAnsi="宋体" w:eastAsia="宋体"/>
          <w:sz w:val="24"/>
          <w:szCs w:val="24"/>
        </w:rPr>
        <w:t xml:space="preserve">    商业企业品牌评价：□ </w:t>
      </w:r>
      <w:r>
        <w:rPr>
          <w:rFonts w:ascii="宋体" w:hAnsi="宋体" w:eastAsia="宋体"/>
          <w:sz w:val="24"/>
          <w:szCs w:val="24"/>
        </w:rPr>
        <w:t>GB/T 27925-2011</w:t>
      </w:r>
      <w:r>
        <w:rPr>
          <w:rFonts w:hint="eastAsia" w:ascii="宋体" w:hAnsi="宋体" w:eastAsia="宋体"/>
          <w:sz w:val="24"/>
          <w:szCs w:val="24"/>
        </w:rPr>
        <w:t>；</w:t>
      </w:r>
    </w:p>
    <w:p>
      <w:pPr>
        <w:tabs>
          <w:tab w:val="left" w:pos="8400"/>
        </w:tabs>
        <w:spacing w:line="360" w:lineRule="auto"/>
        <w:jc w:val="left"/>
        <w:rPr>
          <w:rFonts w:hint="eastAsia" w:ascii="宋体" w:hAnsi="宋体" w:eastAsia="宋体"/>
          <w:sz w:val="24"/>
          <w:szCs w:val="24"/>
        </w:rPr>
      </w:pPr>
      <w:r>
        <w:rPr>
          <w:rFonts w:hint="eastAsia" w:ascii="宋体" w:hAnsi="宋体" w:eastAsia="宋体"/>
          <w:sz w:val="24"/>
          <w:szCs w:val="24"/>
        </w:rPr>
        <w:t xml:space="preserve">               企业信用评价：□ </w:t>
      </w:r>
      <w:r>
        <w:rPr>
          <w:rFonts w:ascii="宋体" w:hAnsi="宋体" w:eastAsia="宋体"/>
          <w:sz w:val="24"/>
          <w:szCs w:val="24"/>
        </w:rPr>
        <w:t>GB/T 23794-2015</w:t>
      </w:r>
      <w:r>
        <w:rPr>
          <w:rFonts w:hint="eastAsia" w:ascii="宋体" w:hAnsi="宋体" w:eastAsia="宋体"/>
          <w:sz w:val="24"/>
          <w:szCs w:val="24"/>
        </w:rPr>
        <w:t>；</w:t>
      </w:r>
    </w:p>
    <w:p>
      <w:pPr>
        <w:tabs>
          <w:tab w:val="left" w:pos="8400"/>
        </w:tabs>
        <w:spacing w:line="360" w:lineRule="auto"/>
        <w:jc w:val="left"/>
        <w:rPr>
          <w:rFonts w:hint="default" w:ascii="宋体" w:hAnsi="宋体" w:eastAsia="宋体"/>
          <w:sz w:val="24"/>
          <w:szCs w:val="24"/>
          <w:lang w:val="en-US"/>
        </w:rPr>
      </w:pPr>
      <w:r>
        <w:rPr>
          <w:rFonts w:hint="eastAsia" w:ascii="宋体" w:hAnsi="宋体" w:eastAsia="宋体"/>
          <w:sz w:val="24"/>
          <w:szCs w:val="24"/>
          <w:lang w:val="en-US" w:eastAsia="zh-CN"/>
        </w:rPr>
        <w:t xml:space="preserve">               物业服务认证：</w:t>
      </w:r>
      <w:r>
        <w:rPr>
          <w:rFonts w:hint="eastAsia" w:ascii="宋体" w:hAnsi="宋体" w:eastAsia="宋体"/>
          <w:sz w:val="24"/>
          <w:szCs w:val="24"/>
        </w:rPr>
        <w:t>□ GB/T 20647.9-2006；</w:t>
      </w:r>
    </w:p>
    <w:p>
      <w:pPr>
        <w:tabs>
          <w:tab w:val="left" w:pos="8400"/>
        </w:tabs>
        <w:spacing w:line="360" w:lineRule="auto"/>
        <w:jc w:val="left"/>
        <w:rPr>
          <w:rFonts w:ascii="宋体" w:hAnsi="宋体" w:eastAsia="宋体"/>
          <w:sz w:val="24"/>
          <w:szCs w:val="24"/>
        </w:rPr>
      </w:pPr>
      <w:r>
        <w:rPr>
          <w:rFonts w:hint="eastAsia" w:ascii="宋体" w:hAnsi="宋体" w:eastAsia="宋体"/>
          <w:sz w:val="24"/>
          <w:szCs w:val="24"/>
        </w:rPr>
        <w:t xml:space="preserve">                       其它：□</w:t>
      </w:r>
      <w:r>
        <w:rPr>
          <w:rFonts w:hint="eastAsia" w:ascii="宋体" w:hAnsi="宋体" w:eastAsia="宋体"/>
          <w:sz w:val="24"/>
          <w:szCs w:val="24"/>
          <w:u w:val="single"/>
        </w:rPr>
        <w:t xml:space="preserve"> </w:t>
      </w:r>
      <w:r>
        <w:rPr>
          <w:rFonts w:ascii="宋体" w:hAnsi="宋体" w:eastAsia="宋体"/>
          <w:sz w:val="24"/>
          <w:szCs w:val="24"/>
          <w:u w:val="single"/>
        </w:rPr>
        <w:t xml:space="preserve">                       </w:t>
      </w:r>
    </w:p>
    <w:p>
      <w:pPr>
        <w:tabs>
          <w:tab w:val="left" w:pos="8400"/>
        </w:tabs>
        <w:spacing w:line="360" w:lineRule="auto"/>
        <w:ind w:left="840" w:hanging="840" w:hangingChars="350"/>
        <w:jc w:val="left"/>
        <w:rPr>
          <w:rFonts w:ascii="宋体" w:hAnsi="宋体" w:eastAsia="宋体"/>
          <w:sz w:val="24"/>
          <w:szCs w:val="24"/>
          <w:u w:val="single"/>
        </w:rPr>
      </w:pPr>
      <w:r>
        <w:rPr>
          <w:rFonts w:hint="eastAsia" w:ascii="宋体" w:hAnsi="宋体" w:eastAsia="宋体"/>
          <w:sz w:val="24"/>
          <w:szCs w:val="24"/>
        </w:rPr>
        <w:t xml:space="preserve">第三条 </w:t>
      </w:r>
      <w:r>
        <w:rPr>
          <w:rFonts w:ascii="宋体" w:hAnsi="宋体" w:eastAsia="宋体"/>
          <w:sz w:val="24"/>
          <w:szCs w:val="24"/>
        </w:rPr>
        <w:t>甲方服务</w:t>
      </w:r>
      <w:r>
        <w:rPr>
          <w:rFonts w:hint="eastAsia" w:ascii="宋体" w:hAnsi="宋体" w:eastAsia="宋体"/>
          <w:sz w:val="24"/>
          <w:szCs w:val="24"/>
        </w:rPr>
        <w:t>认证覆盖</w:t>
      </w:r>
      <w:r>
        <w:rPr>
          <w:rFonts w:ascii="宋体" w:hAnsi="宋体" w:eastAsia="宋体"/>
          <w:sz w:val="24"/>
          <w:szCs w:val="24"/>
        </w:rPr>
        <w:t>的范围</w:t>
      </w:r>
      <w:r>
        <w:rPr>
          <w:rFonts w:hint="eastAsia" w:ascii="宋体" w:hAnsi="宋体" w:eastAsia="宋体"/>
          <w:sz w:val="24"/>
          <w:szCs w:val="24"/>
        </w:rPr>
        <w:t>、认证范围内活动覆盖的场所、申请级别：基于</w:t>
      </w:r>
      <w:r>
        <w:rPr>
          <w:rFonts w:ascii="宋体" w:hAnsi="宋体" w:eastAsia="宋体"/>
          <w:sz w:val="24"/>
          <w:szCs w:val="24"/>
        </w:rPr>
        <w:t>甲方向乙方提交的认证申请书</w:t>
      </w:r>
      <w:r>
        <w:rPr>
          <w:rFonts w:hint="eastAsia" w:ascii="宋体" w:hAnsi="宋体" w:eastAsia="宋体"/>
          <w:sz w:val="24"/>
          <w:szCs w:val="24"/>
        </w:rPr>
        <w:t>以及服务认证审查报告确认的范围</w:t>
      </w:r>
      <w:r>
        <w:rPr>
          <w:rFonts w:ascii="宋体" w:hAnsi="宋体" w:eastAsia="宋体"/>
          <w:sz w:val="24"/>
          <w:szCs w:val="24"/>
        </w:rPr>
        <w:t>，</w:t>
      </w:r>
      <w:r>
        <w:rPr>
          <w:rFonts w:hint="eastAsia" w:ascii="宋体" w:hAnsi="宋体" w:eastAsia="宋体"/>
          <w:sz w:val="24"/>
          <w:szCs w:val="24"/>
        </w:rPr>
        <w:t>最终的认证范围</w:t>
      </w:r>
      <w:r>
        <w:rPr>
          <w:rFonts w:ascii="宋体" w:hAnsi="宋体" w:eastAsia="宋体"/>
          <w:sz w:val="24"/>
          <w:szCs w:val="24"/>
        </w:rPr>
        <w:t>以乙方认证决定的书面文件为</w:t>
      </w:r>
      <w:r>
        <w:rPr>
          <w:rFonts w:hint="eastAsia" w:ascii="宋体" w:hAnsi="宋体" w:eastAsia="宋体"/>
          <w:sz w:val="24"/>
          <w:szCs w:val="24"/>
        </w:rPr>
        <w:t>准</w:t>
      </w:r>
      <w:r>
        <w:rPr>
          <w:rFonts w:ascii="宋体" w:hAnsi="宋体" w:eastAsia="宋体"/>
          <w:sz w:val="24"/>
          <w:szCs w:val="24"/>
        </w:rPr>
        <w:t>。</w:t>
      </w:r>
    </w:p>
    <w:p>
      <w:pPr>
        <w:spacing w:line="360" w:lineRule="auto"/>
        <w:jc w:val="left"/>
        <w:rPr>
          <w:rFonts w:ascii="宋体" w:hAnsi="宋体" w:eastAsia="宋体"/>
          <w:b/>
          <w:bCs/>
          <w:sz w:val="24"/>
          <w:szCs w:val="24"/>
        </w:rPr>
      </w:pPr>
      <w:r>
        <w:rPr>
          <w:rFonts w:hint="eastAsia" w:ascii="宋体" w:hAnsi="宋体" w:eastAsia="宋体"/>
          <w:b/>
          <w:bCs/>
          <w:sz w:val="24"/>
          <w:szCs w:val="24"/>
        </w:rPr>
        <w:t>第四条 合同费用及支付方式</w:t>
      </w:r>
    </w:p>
    <w:p>
      <w:pPr>
        <w:tabs>
          <w:tab w:val="left" w:pos="284"/>
        </w:tabs>
        <w:spacing w:line="360" w:lineRule="auto"/>
        <w:jc w:val="left"/>
        <w:rPr>
          <w:rFonts w:hint="eastAsia" w:ascii="宋体" w:hAnsi="宋体" w:eastAsia="宋体"/>
          <w:sz w:val="24"/>
          <w:szCs w:val="24"/>
          <w:lang w:eastAsia="zh-CN"/>
        </w:rPr>
      </w:pPr>
      <w:r>
        <w:rPr>
          <w:rFonts w:hint="eastAsia" w:ascii="宋体" w:hAnsi="宋体" w:eastAsia="宋体"/>
          <w:sz w:val="24"/>
          <w:szCs w:val="24"/>
        </w:rPr>
        <w:t>1</w:t>
      </w:r>
      <w:r>
        <w:rPr>
          <w:rFonts w:ascii="宋体" w:hAnsi="宋体" w:eastAsia="宋体"/>
          <w:sz w:val="24"/>
          <w:szCs w:val="24"/>
        </w:rPr>
        <w:t>. 初次认证费用</w:t>
      </w:r>
      <w:r>
        <w:rPr>
          <w:rFonts w:hint="eastAsia" w:ascii="宋体" w:hAnsi="宋体" w:eastAsia="宋体"/>
          <w:sz w:val="24"/>
          <w:szCs w:val="24"/>
          <w:lang w:eastAsia="zh-CN"/>
        </w:rPr>
        <w:t>：</w:t>
      </w:r>
    </w:p>
    <w:p>
      <w:pPr>
        <w:pStyle w:val="9"/>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tabs>
          <w:tab w:val="left" w:pos="284"/>
        </w:tabs>
        <w:spacing w:line="360" w:lineRule="auto"/>
        <w:jc w:val="left"/>
        <w:rPr>
          <w:rFonts w:hint="eastAsia" w:ascii="宋体" w:hAnsi="宋体" w:eastAsia="宋体"/>
          <w:sz w:val="24"/>
          <w:szCs w:val="24"/>
          <w:highlight w:val="none"/>
          <w:lang w:eastAsia="zh-CN"/>
        </w:rPr>
      </w:pPr>
      <w:r>
        <w:rPr>
          <w:rFonts w:ascii="宋体" w:hAnsi="宋体" w:eastAsia="宋体"/>
          <w:sz w:val="24"/>
          <w:szCs w:val="24"/>
          <w:highlight w:val="none"/>
        </w:rPr>
        <w:t xml:space="preserve">2. </w:t>
      </w:r>
      <w:r>
        <w:rPr>
          <w:rFonts w:hint="eastAsia" w:ascii="宋体" w:hAnsi="宋体" w:eastAsia="宋体"/>
          <w:sz w:val="24"/>
          <w:szCs w:val="24"/>
          <w:highlight w:val="none"/>
        </w:rPr>
        <w:t>监督</w:t>
      </w:r>
      <w:r>
        <w:rPr>
          <w:rFonts w:hint="eastAsia" w:ascii="宋体" w:hAnsi="宋体" w:eastAsia="宋体"/>
          <w:sz w:val="24"/>
          <w:szCs w:val="24"/>
          <w:highlight w:val="none"/>
          <w:lang w:eastAsia="zh-CN"/>
        </w:rPr>
        <w:t>审查</w:t>
      </w:r>
      <w:r>
        <w:rPr>
          <w:rFonts w:hint="eastAsia" w:ascii="宋体" w:hAnsi="宋体" w:eastAsia="宋体"/>
          <w:sz w:val="24"/>
          <w:szCs w:val="24"/>
          <w:highlight w:val="none"/>
        </w:rPr>
        <w:t>费用/次</w:t>
      </w:r>
      <w:r>
        <w:rPr>
          <w:rFonts w:hint="eastAsia" w:ascii="宋体" w:hAnsi="宋体" w:eastAsia="宋体"/>
          <w:sz w:val="24"/>
          <w:szCs w:val="24"/>
          <w:highlight w:val="none"/>
          <w:lang w:eastAsia="zh-CN"/>
        </w:rPr>
        <w:t>：</w:t>
      </w:r>
    </w:p>
    <w:p>
      <w:pPr>
        <w:pStyle w:val="9"/>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spacing w:line="360" w:lineRule="auto"/>
        <w:jc w:val="left"/>
        <w:rPr>
          <w:rFonts w:hint="eastAsia" w:ascii="宋体" w:hAnsi="宋体" w:eastAsia="宋体"/>
          <w:sz w:val="24"/>
          <w:szCs w:val="24"/>
          <w:highlight w:val="none"/>
          <w:lang w:eastAsia="zh-CN"/>
        </w:rPr>
      </w:pPr>
      <w:r>
        <w:rPr>
          <w:rFonts w:hint="eastAsia" w:ascii="宋体" w:hAnsi="宋体" w:eastAsia="宋体"/>
          <w:sz w:val="24"/>
          <w:szCs w:val="24"/>
          <w:highlight w:val="none"/>
        </w:rPr>
        <w:t>3</w:t>
      </w:r>
      <w:r>
        <w:rPr>
          <w:rFonts w:ascii="宋体" w:hAnsi="宋体" w:eastAsia="宋体"/>
          <w:sz w:val="24"/>
          <w:szCs w:val="24"/>
          <w:highlight w:val="none"/>
        </w:rPr>
        <w:t>. 再认证费用</w:t>
      </w:r>
      <w:r>
        <w:rPr>
          <w:rFonts w:hint="eastAsia" w:ascii="宋体" w:hAnsi="宋体" w:eastAsia="宋体"/>
          <w:sz w:val="24"/>
          <w:szCs w:val="24"/>
          <w:highlight w:val="none"/>
          <w:lang w:eastAsia="zh-CN"/>
        </w:rPr>
        <w:t>：</w:t>
      </w:r>
    </w:p>
    <w:p>
      <w:pPr>
        <w:pStyle w:val="9"/>
        <w:tabs>
          <w:tab w:val="left" w:pos="945"/>
          <w:tab w:val="center" w:pos="4779"/>
        </w:tabs>
        <w:spacing w:line="360" w:lineRule="auto"/>
        <w:ind w:left="840" w:firstLine="0" w:firstLineChars="0"/>
        <w:jc w:val="left"/>
        <w:rPr>
          <w:rFonts w:ascii="宋体" w:hAnsi="宋体" w:cstheme="minorBidi"/>
          <w:sz w:val="24"/>
          <w:highlight w:val="none"/>
        </w:rPr>
      </w:pPr>
      <w:r>
        <w:rPr>
          <w:rFonts w:hint="eastAsia" w:ascii="宋体" w:hAnsi="宋体"/>
          <w:sz w:val="24"/>
          <w:highlight w:val="none"/>
        </w:rPr>
        <w:t>¥</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元（大写</w:t>
      </w:r>
      <w:r>
        <w:rPr>
          <w:rFonts w:hint="eastAsia" w:ascii="宋体" w:hAnsi="宋体" w:cstheme="minorBidi"/>
          <w:sz w:val="24"/>
          <w:highlight w:val="none"/>
          <w:u w:val="single"/>
        </w:rPr>
        <w:t xml:space="preserve"> </w:t>
      </w:r>
      <w:r>
        <w:rPr>
          <w:rFonts w:ascii="宋体" w:hAnsi="宋体" w:cstheme="minorBidi"/>
          <w:sz w:val="24"/>
          <w:highlight w:val="none"/>
          <w:u w:val="single"/>
        </w:rPr>
        <w:t xml:space="preserve">             </w:t>
      </w:r>
      <w:r>
        <w:rPr>
          <w:rFonts w:hint="eastAsia" w:ascii="宋体" w:hAnsi="宋体" w:cstheme="minorBidi"/>
          <w:sz w:val="24"/>
          <w:highlight w:val="none"/>
        </w:rPr>
        <w:t>元整）</w:t>
      </w:r>
    </w:p>
    <w:p>
      <w:pPr>
        <w:spacing w:line="360" w:lineRule="auto"/>
        <w:ind w:left="424" w:leftChars="202" w:firstLine="518" w:firstLineChars="216"/>
        <w:rPr>
          <w:rFonts w:ascii="宋体" w:hAnsi="宋体" w:eastAsia="宋体"/>
          <w:sz w:val="24"/>
          <w:szCs w:val="24"/>
        </w:rPr>
      </w:pPr>
      <w:r>
        <w:rPr>
          <w:rFonts w:hint="eastAsia" w:ascii="宋体" w:hAnsi="宋体" w:eastAsia="宋体"/>
          <w:sz w:val="24"/>
          <w:szCs w:val="24"/>
        </w:rPr>
        <w:t>注1：认证证书有效期为三年，乙方将接受两次定期监督审</w:t>
      </w:r>
      <w:r>
        <w:rPr>
          <w:rFonts w:hint="eastAsia" w:ascii="宋体" w:hAnsi="宋体" w:eastAsia="宋体"/>
          <w:sz w:val="24"/>
          <w:szCs w:val="24"/>
          <w:lang w:val="en-US" w:eastAsia="zh-CN"/>
        </w:rPr>
        <w:t>查</w:t>
      </w:r>
      <w:r>
        <w:rPr>
          <w:rFonts w:hint="eastAsia" w:ascii="宋体" w:hAnsi="宋体" w:eastAsia="宋体"/>
          <w:sz w:val="24"/>
          <w:szCs w:val="24"/>
        </w:rPr>
        <w:t>及必要的不定期审查；按照</w:t>
      </w:r>
      <w:r>
        <w:rPr>
          <w:rFonts w:hint="eastAsia" w:ascii="宋体" w:hAnsi="宋体" w:eastAsia="宋体"/>
          <w:sz w:val="24"/>
          <w:szCs w:val="24"/>
          <w:lang w:val="en-US" w:eastAsia="zh-CN"/>
        </w:rPr>
        <w:t>公司</w:t>
      </w:r>
      <w:r>
        <w:rPr>
          <w:rFonts w:hint="eastAsia" w:ascii="宋体" w:hAnsi="宋体" w:eastAsia="宋体"/>
          <w:sz w:val="24"/>
          <w:szCs w:val="24"/>
        </w:rPr>
        <w:t>要求，在初次认证决定后12个月内应进行一次监督</w:t>
      </w:r>
      <w:r>
        <w:rPr>
          <w:rFonts w:hint="eastAsia" w:ascii="宋体" w:hAnsi="宋体" w:eastAsia="宋体"/>
          <w:sz w:val="24"/>
          <w:szCs w:val="24"/>
          <w:lang w:val="en-US" w:eastAsia="zh-CN"/>
        </w:rPr>
        <w:t>审查</w:t>
      </w:r>
      <w:r>
        <w:rPr>
          <w:rFonts w:hint="eastAsia" w:ascii="宋体" w:hAnsi="宋体" w:eastAsia="宋体"/>
          <w:sz w:val="24"/>
          <w:szCs w:val="24"/>
        </w:rPr>
        <w:t>，此后，每次监督</w:t>
      </w:r>
      <w:r>
        <w:rPr>
          <w:rFonts w:hint="eastAsia" w:ascii="宋体" w:hAnsi="宋体" w:eastAsia="宋体"/>
          <w:sz w:val="24"/>
          <w:szCs w:val="24"/>
          <w:lang w:val="en-US" w:eastAsia="zh-CN"/>
        </w:rPr>
        <w:t>审查</w:t>
      </w:r>
      <w:r>
        <w:rPr>
          <w:rFonts w:hint="eastAsia" w:ascii="宋体" w:hAnsi="宋体" w:eastAsia="宋体"/>
          <w:sz w:val="24"/>
          <w:szCs w:val="24"/>
        </w:rPr>
        <w:t>的时间间隔不超过12个月。有异常情况时乙方可以酌情增加监督</w:t>
      </w:r>
      <w:r>
        <w:rPr>
          <w:rFonts w:hint="eastAsia" w:ascii="宋体" w:hAnsi="宋体" w:eastAsia="宋体"/>
          <w:sz w:val="24"/>
          <w:szCs w:val="24"/>
          <w:lang w:val="en-US" w:eastAsia="zh-CN"/>
        </w:rPr>
        <w:t>审查</w:t>
      </w:r>
      <w:r>
        <w:rPr>
          <w:rFonts w:hint="eastAsia" w:ascii="宋体" w:hAnsi="宋体" w:eastAsia="宋体"/>
          <w:sz w:val="24"/>
          <w:szCs w:val="24"/>
        </w:rPr>
        <w:t>的频次。</w:t>
      </w:r>
    </w:p>
    <w:p>
      <w:pPr>
        <w:pStyle w:val="9"/>
        <w:tabs>
          <w:tab w:val="left" w:pos="284"/>
        </w:tabs>
        <w:spacing w:line="360" w:lineRule="auto"/>
        <w:ind w:left="420" w:leftChars="200" w:firstLine="480" w:firstLineChars="200"/>
        <w:jc w:val="left"/>
        <w:rPr>
          <w:rFonts w:hint="eastAsia" w:ascii="宋体" w:hAnsi="宋体" w:cstheme="minorBidi"/>
          <w:sz w:val="24"/>
        </w:rPr>
      </w:pPr>
      <w:r>
        <w:rPr>
          <w:rFonts w:ascii="宋体" w:hAnsi="宋体" w:cstheme="minorBidi"/>
          <w:sz w:val="24"/>
        </w:rPr>
        <w:t>注</w:t>
      </w:r>
      <w:r>
        <w:rPr>
          <w:rFonts w:hint="eastAsia" w:ascii="宋体" w:hAnsi="宋体" w:cstheme="minorBidi"/>
          <w:sz w:val="24"/>
        </w:rPr>
        <w:t>2</w:t>
      </w:r>
      <w:r>
        <w:rPr>
          <w:rFonts w:ascii="宋体" w:hAnsi="宋体" w:cstheme="minorBidi"/>
          <w:sz w:val="24"/>
        </w:rPr>
        <w:t>：</w:t>
      </w:r>
      <w:r>
        <w:rPr>
          <w:rFonts w:hint="eastAsia" w:ascii="宋体" w:hAnsi="宋体" w:cstheme="minorBidi"/>
          <w:sz w:val="24"/>
        </w:rPr>
        <w:t>加印证书费用：每张￥</w:t>
      </w:r>
      <w:r>
        <w:rPr>
          <w:rFonts w:ascii="宋体" w:hAnsi="宋体" w:cstheme="minorBidi"/>
          <w:sz w:val="24"/>
        </w:rPr>
        <w:t>5</w:t>
      </w:r>
      <w:r>
        <w:rPr>
          <w:rFonts w:hint="eastAsia" w:ascii="宋体" w:hAnsi="宋体" w:cstheme="minorBidi"/>
          <w:sz w:val="24"/>
        </w:rPr>
        <w:t>0元</w:t>
      </w:r>
      <w:r>
        <w:rPr>
          <w:rFonts w:hint="eastAsia" w:ascii="宋体" w:hAnsi="宋体" w:cstheme="minorBidi"/>
          <w:sz w:val="24"/>
          <w:lang w:eastAsia="zh-CN"/>
        </w:rPr>
        <w:t>（</w:t>
      </w:r>
      <w:r>
        <w:rPr>
          <w:rFonts w:hint="eastAsia" w:ascii="宋体" w:hAnsi="宋体" w:cstheme="minorBidi"/>
          <w:sz w:val="24"/>
          <w:lang w:val="en-US" w:eastAsia="zh-CN"/>
        </w:rPr>
        <w:t>如证书有效期内因证书内容变更需换发证书的，按</w:t>
      </w:r>
      <w:r>
        <w:rPr>
          <w:rFonts w:hint="eastAsia" w:ascii="宋体" w:hAnsi="宋体" w:cstheme="minorBidi"/>
          <w:sz w:val="24"/>
        </w:rPr>
        <w:t>加印证书费用</w:t>
      </w:r>
      <w:r>
        <w:rPr>
          <w:rFonts w:hint="eastAsia" w:ascii="宋体" w:hAnsi="宋体" w:cstheme="minorBidi"/>
          <w:sz w:val="24"/>
          <w:lang w:val="en-US" w:eastAsia="zh-CN"/>
        </w:rPr>
        <w:t>标准收取换证费</w:t>
      </w:r>
      <w:r>
        <w:rPr>
          <w:rFonts w:hint="eastAsia" w:ascii="宋体" w:hAnsi="宋体" w:cstheme="minorBidi"/>
          <w:sz w:val="24"/>
          <w:lang w:eastAsia="zh-CN"/>
        </w:rPr>
        <w:t>），</w:t>
      </w:r>
      <w:r>
        <w:rPr>
          <w:rFonts w:hint="eastAsia" w:ascii="宋体" w:hAnsi="宋体"/>
          <w:sz w:val="24"/>
        </w:rPr>
        <w:t>证书英文委托翻译费</w:t>
      </w:r>
      <w:r>
        <w:rPr>
          <w:rFonts w:ascii="宋体" w:hAnsi="宋体"/>
          <w:sz w:val="24"/>
        </w:rPr>
        <w:t>200.00</w:t>
      </w:r>
      <w:r>
        <w:rPr>
          <w:rFonts w:hint="eastAsia" w:ascii="宋体" w:hAnsi="宋体"/>
          <w:sz w:val="24"/>
        </w:rPr>
        <w:t>元/体系。</w:t>
      </w:r>
    </w:p>
    <w:p>
      <w:pPr>
        <w:pStyle w:val="9"/>
        <w:numPr>
          <w:ilvl w:val="0"/>
          <w:numId w:val="0"/>
        </w:numPr>
        <w:tabs>
          <w:tab w:val="left" w:pos="420"/>
        </w:tabs>
        <w:spacing w:line="360" w:lineRule="auto"/>
        <w:ind w:left="0" w:leftChars="0" w:firstLine="0" w:firstLineChars="0"/>
        <w:jc w:val="left"/>
        <w:rPr>
          <w:rFonts w:ascii="宋体" w:hAnsi="宋体"/>
          <w:sz w:val="24"/>
        </w:rPr>
      </w:pPr>
      <w:r>
        <w:rPr>
          <w:rFonts w:hint="eastAsia" w:ascii="宋体" w:hAnsi="宋体"/>
          <w:sz w:val="24"/>
          <w:lang w:val="en-US" w:eastAsia="zh-CN"/>
        </w:rPr>
        <w:t>4.</w:t>
      </w:r>
      <w:r>
        <w:rPr>
          <w:rFonts w:hint="eastAsia" w:ascii="宋体" w:hAnsi="宋体"/>
          <w:sz w:val="24"/>
        </w:rPr>
        <w:t>每次现场</w:t>
      </w:r>
      <w:r>
        <w:rPr>
          <w:rFonts w:hint="eastAsia" w:ascii="宋体" w:hAnsi="宋体"/>
          <w:sz w:val="24"/>
          <w:lang w:eastAsia="zh-CN"/>
        </w:rPr>
        <w:t>审查</w:t>
      </w:r>
      <w:r>
        <w:rPr>
          <w:rFonts w:ascii="宋体" w:hAnsi="宋体"/>
          <w:sz w:val="24"/>
        </w:rPr>
        <w:t>时，由甲方承</w:t>
      </w:r>
      <w:bookmarkStart w:id="1" w:name="_GoBack"/>
      <w:bookmarkEnd w:id="1"/>
      <w:r>
        <w:rPr>
          <w:rFonts w:ascii="宋体" w:hAnsi="宋体"/>
          <w:sz w:val="24"/>
        </w:rPr>
        <w:t>担乙方派出</w:t>
      </w:r>
      <w:r>
        <w:rPr>
          <w:rFonts w:hint="eastAsia" w:ascii="宋体" w:hAnsi="宋体"/>
          <w:sz w:val="24"/>
        </w:rPr>
        <w:t>的</w:t>
      </w:r>
      <w:r>
        <w:rPr>
          <w:rFonts w:hint="eastAsia" w:ascii="宋体" w:hAnsi="宋体"/>
          <w:sz w:val="24"/>
          <w:lang w:eastAsia="zh-CN"/>
        </w:rPr>
        <w:t>审查</w:t>
      </w:r>
      <w:r>
        <w:rPr>
          <w:rFonts w:ascii="宋体" w:hAnsi="宋体"/>
          <w:sz w:val="24"/>
        </w:rPr>
        <w:t>组成员的食、宿及往返交通费。</w:t>
      </w:r>
    </w:p>
    <w:p>
      <w:pPr>
        <w:tabs>
          <w:tab w:val="left" w:pos="0"/>
        </w:tabs>
        <w:spacing w:line="360" w:lineRule="auto"/>
        <w:ind w:left="216" w:leftChars="0" w:hanging="216" w:hangingChars="90"/>
        <w:jc w:val="left"/>
        <w:rPr>
          <w:rFonts w:ascii="宋体" w:hAnsi="宋体"/>
          <w:sz w:val="24"/>
        </w:rPr>
      </w:pPr>
      <w:r>
        <w:rPr>
          <w:rFonts w:hint="eastAsia" w:ascii="宋体" w:hAnsi="宋体" w:eastAsia="宋体" w:cs="Times New Roman"/>
          <w:sz w:val="24"/>
          <w:szCs w:val="24"/>
          <w:highlight w:val="none"/>
          <w:lang w:val="en-US" w:eastAsia="zh-CN"/>
        </w:rPr>
        <w:t>5.</w:t>
      </w:r>
      <w:r>
        <w:rPr>
          <w:rFonts w:hint="eastAsia" w:ascii="宋体" w:hAnsi="宋体" w:eastAsia="宋体" w:cs="Times New Roman"/>
          <w:sz w:val="24"/>
          <w:szCs w:val="24"/>
          <w:highlight w:val="none"/>
        </w:rPr>
        <w:t>初次认证/再认证费用的付款</w:t>
      </w:r>
      <w:r>
        <w:rPr>
          <w:rFonts w:hint="eastAsia" w:ascii="宋体" w:hAnsi="宋体" w:eastAsia="宋体" w:cs="Times New Roman"/>
          <w:sz w:val="24"/>
          <w:szCs w:val="24"/>
          <w:highlight w:val="none"/>
          <w:lang w:val="en-US" w:eastAsia="zh-CN"/>
        </w:rPr>
        <w:t>时间应为</w:t>
      </w:r>
      <w:r>
        <w:rPr>
          <w:rFonts w:hint="eastAsia" w:ascii="宋体" w:hAnsi="宋体" w:eastAsia="宋体" w:cs="Times New Roman"/>
          <w:sz w:val="24"/>
          <w:szCs w:val="24"/>
          <w:highlight w:val="none"/>
        </w:rPr>
        <w:t>合同签订后</w:t>
      </w:r>
      <w:r>
        <w:rPr>
          <w:rFonts w:hint="eastAsia" w:ascii="宋体" w:hAnsi="宋体" w:eastAsia="宋体" w:cs="Times New Roman"/>
          <w:sz w:val="24"/>
          <w:szCs w:val="24"/>
          <w:highlight w:val="none"/>
          <w:lang w:val="en-US" w:eastAsia="zh-CN"/>
        </w:rPr>
        <w:t>的7日内一次性交纳；</w:t>
      </w:r>
      <w:r>
        <w:rPr>
          <w:rFonts w:hint="eastAsia" w:ascii="宋体" w:hAnsi="宋体" w:eastAsia="宋体" w:cs="Times New Roman"/>
          <w:sz w:val="24"/>
          <w:szCs w:val="24"/>
          <w:highlight w:val="none"/>
        </w:rPr>
        <w:t>监督</w:t>
      </w:r>
      <w:r>
        <w:rPr>
          <w:rFonts w:hint="eastAsia" w:ascii="宋体" w:hAnsi="宋体" w:eastAsia="宋体" w:cs="Times New Roman"/>
          <w:sz w:val="24"/>
          <w:szCs w:val="24"/>
          <w:highlight w:val="none"/>
          <w:lang w:val="en-US" w:eastAsia="zh-CN"/>
        </w:rPr>
        <w:t>审查</w:t>
      </w:r>
      <w:r>
        <w:rPr>
          <w:rFonts w:hint="eastAsia" w:ascii="宋体" w:hAnsi="宋体" w:eastAsia="宋体" w:cs="Times New Roman"/>
          <w:sz w:val="24"/>
          <w:szCs w:val="24"/>
          <w:highlight w:val="none"/>
        </w:rPr>
        <w:t>费用</w:t>
      </w:r>
      <w:r>
        <w:rPr>
          <w:rFonts w:hint="eastAsia" w:ascii="宋体" w:hAnsi="宋体" w:eastAsia="宋体" w:cs="Times New Roman"/>
          <w:sz w:val="24"/>
          <w:szCs w:val="24"/>
          <w:highlight w:val="none"/>
          <w:lang w:val="en-US" w:eastAsia="zh-CN"/>
        </w:rPr>
        <w:t>的支付时间至少在监督审查到期时间（见上文注1）前40个工作日内；若</w:t>
      </w:r>
      <w:r>
        <w:rPr>
          <w:rFonts w:hint="eastAsia" w:ascii="宋体" w:hAnsi="宋体" w:eastAsia="宋体" w:cs="Times New Roman"/>
          <w:sz w:val="24"/>
          <w:szCs w:val="24"/>
          <w:highlight w:val="none"/>
        </w:rPr>
        <w:t>未能按时交足</w:t>
      </w:r>
      <w:r>
        <w:rPr>
          <w:rFonts w:hint="eastAsia" w:ascii="宋体" w:hAnsi="宋体" w:eastAsia="宋体" w:cs="Times New Roman"/>
          <w:sz w:val="24"/>
          <w:szCs w:val="24"/>
          <w:highlight w:val="none"/>
          <w:lang w:val="en-US" w:eastAsia="zh-CN"/>
        </w:rPr>
        <w:t>本次</w:t>
      </w:r>
      <w:r>
        <w:rPr>
          <w:rFonts w:hint="eastAsia" w:ascii="宋体" w:hAnsi="宋体" w:eastAsia="宋体" w:cs="Times New Roman"/>
          <w:sz w:val="24"/>
          <w:szCs w:val="24"/>
          <w:highlight w:val="none"/>
        </w:rPr>
        <w:t>监督</w:t>
      </w:r>
      <w:r>
        <w:rPr>
          <w:rFonts w:hint="eastAsia" w:ascii="宋体" w:hAnsi="宋体" w:eastAsia="宋体" w:cs="Times New Roman"/>
          <w:sz w:val="24"/>
          <w:szCs w:val="24"/>
          <w:highlight w:val="none"/>
          <w:lang w:val="en-US" w:eastAsia="zh-CN"/>
        </w:rPr>
        <w:t>审查</w:t>
      </w:r>
      <w:r>
        <w:rPr>
          <w:rFonts w:hint="eastAsia" w:ascii="宋体" w:hAnsi="宋体" w:eastAsia="宋体" w:cs="Times New Roman"/>
          <w:sz w:val="24"/>
          <w:szCs w:val="24"/>
          <w:highlight w:val="none"/>
        </w:rPr>
        <w:t>费用，乙方有权暂停或撤销甲方的相关认证注册资格，已收到的认证费用及监督</w:t>
      </w:r>
      <w:r>
        <w:rPr>
          <w:rFonts w:hint="eastAsia" w:ascii="宋体" w:hAnsi="宋体" w:eastAsia="宋体" w:cs="Times New Roman"/>
          <w:sz w:val="24"/>
          <w:szCs w:val="24"/>
          <w:highlight w:val="none"/>
          <w:lang w:val="en-US" w:eastAsia="zh-CN"/>
        </w:rPr>
        <w:t>审查</w:t>
      </w:r>
      <w:r>
        <w:rPr>
          <w:rFonts w:hint="eastAsia" w:ascii="宋体" w:hAnsi="宋体" w:eastAsia="宋体" w:cs="Times New Roman"/>
          <w:sz w:val="24"/>
          <w:szCs w:val="24"/>
          <w:highlight w:val="none"/>
        </w:rPr>
        <w:t>费用不予退还。</w:t>
      </w:r>
    </w:p>
    <w:p>
      <w:pPr>
        <w:tabs>
          <w:tab w:val="left" w:pos="220"/>
        </w:tabs>
        <w:spacing w:line="360" w:lineRule="auto"/>
        <w:ind w:left="221" w:leftChars="-9" w:hanging="240" w:hangingChars="100"/>
        <w:jc w:val="left"/>
        <w:rPr>
          <w:rFonts w:ascii="宋体" w:hAnsi="宋体" w:eastAsia="宋体"/>
          <w:sz w:val="24"/>
        </w:rPr>
      </w:pPr>
      <w:r>
        <w:rPr>
          <w:rFonts w:hint="eastAsia" w:ascii="宋体" w:hAnsi="宋体" w:eastAsia="宋体" w:cs="Times New Roman"/>
          <w:sz w:val="24"/>
          <w:szCs w:val="24"/>
          <w:lang w:val="en-US" w:eastAsia="zh-CN"/>
        </w:rPr>
        <w:t>6.</w:t>
      </w:r>
      <w:r>
        <w:rPr>
          <w:rFonts w:ascii="宋体" w:hAnsi="宋体" w:eastAsia="宋体" w:cs="Times New Roman"/>
          <w:sz w:val="24"/>
          <w:szCs w:val="24"/>
        </w:rPr>
        <w:t>如果在现场</w:t>
      </w:r>
      <w:r>
        <w:rPr>
          <w:rFonts w:hint="eastAsia" w:ascii="宋体" w:hAnsi="宋体" w:eastAsia="宋体" w:cs="Times New Roman"/>
          <w:sz w:val="24"/>
          <w:szCs w:val="24"/>
          <w:lang w:eastAsia="zh-CN"/>
        </w:rPr>
        <w:t>审查</w:t>
      </w:r>
      <w:r>
        <w:rPr>
          <w:rFonts w:ascii="宋体" w:hAnsi="宋体" w:eastAsia="宋体" w:cs="Times New Roman"/>
          <w:sz w:val="24"/>
          <w:szCs w:val="24"/>
        </w:rPr>
        <w:t>时发现甲方员工人数</w:t>
      </w:r>
      <w:r>
        <w:rPr>
          <w:rFonts w:hint="eastAsia" w:ascii="宋体" w:hAnsi="宋体" w:eastAsia="宋体" w:cs="Times New Roman"/>
          <w:sz w:val="24"/>
          <w:szCs w:val="24"/>
        </w:rPr>
        <w:t>与</w:t>
      </w:r>
      <w:r>
        <w:rPr>
          <w:rFonts w:ascii="宋体" w:hAnsi="宋体" w:eastAsia="宋体" w:cs="Times New Roman"/>
          <w:sz w:val="24"/>
          <w:szCs w:val="24"/>
        </w:rPr>
        <w:t>申请书所填写的人数</w:t>
      </w:r>
      <w:r>
        <w:rPr>
          <w:rFonts w:hint="eastAsia" w:ascii="宋体" w:hAnsi="宋体" w:eastAsia="宋体" w:cs="Times New Roman"/>
          <w:sz w:val="24"/>
          <w:szCs w:val="24"/>
        </w:rPr>
        <w:t>不符或认证范围发生重</w:t>
      </w:r>
      <w:r>
        <w:rPr>
          <w:rFonts w:hint="eastAsia" w:ascii="宋体" w:hAnsi="宋体" w:eastAsia="宋体"/>
          <w:sz w:val="24"/>
        </w:rPr>
        <w:t>大变时</w:t>
      </w:r>
      <w:r>
        <w:rPr>
          <w:rFonts w:ascii="宋体" w:hAnsi="宋体" w:eastAsia="宋体"/>
          <w:sz w:val="24"/>
        </w:rPr>
        <w:t>，乙方</w:t>
      </w:r>
      <w:r>
        <w:rPr>
          <w:rFonts w:hint="eastAsia" w:ascii="宋体" w:hAnsi="宋体" w:eastAsia="宋体"/>
          <w:sz w:val="24"/>
        </w:rPr>
        <w:t>将</w:t>
      </w:r>
      <w:r>
        <w:rPr>
          <w:rFonts w:ascii="宋体" w:hAnsi="宋体" w:eastAsia="宋体"/>
          <w:sz w:val="24"/>
        </w:rPr>
        <w:t>根据甲方实际</w:t>
      </w:r>
      <w:r>
        <w:rPr>
          <w:rFonts w:hint="eastAsia" w:ascii="宋体" w:hAnsi="宋体" w:eastAsia="宋体"/>
          <w:sz w:val="24"/>
        </w:rPr>
        <w:t>情况</w:t>
      </w:r>
      <w:r>
        <w:rPr>
          <w:rFonts w:ascii="宋体" w:hAnsi="宋体" w:eastAsia="宋体"/>
          <w:sz w:val="24"/>
        </w:rPr>
        <w:t>，</w:t>
      </w:r>
      <w:r>
        <w:rPr>
          <w:rFonts w:hint="eastAsia" w:ascii="宋体" w:hAnsi="宋体" w:eastAsia="宋体"/>
          <w:sz w:val="24"/>
        </w:rPr>
        <w:t>重新核定</w:t>
      </w:r>
      <w:r>
        <w:rPr>
          <w:rFonts w:hint="eastAsia" w:ascii="宋体" w:hAnsi="宋体" w:eastAsia="宋体"/>
          <w:sz w:val="24"/>
          <w:lang w:eastAsia="zh-CN"/>
        </w:rPr>
        <w:t>审查</w:t>
      </w:r>
      <w:r>
        <w:rPr>
          <w:rFonts w:ascii="宋体" w:hAnsi="宋体" w:eastAsia="宋体"/>
          <w:sz w:val="24"/>
        </w:rPr>
        <w:t>人日数</w:t>
      </w:r>
      <w:r>
        <w:rPr>
          <w:rFonts w:hint="eastAsia" w:ascii="宋体" w:hAnsi="宋体" w:eastAsia="宋体"/>
          <w:sz w:val="24"/>
        </w:rPr>
        <w:t>。由此导致的费用增加，由</w:t>
      </w:r>
      <w:r>
        <w:rPr>
          <w:rFonts w:ascii="宋体" w:hAnsi="宋体" w:eastAsia="宋体"/>
          <w:sz w:val="24"/>
        </w:rPr>
        <w:t>甲方</w:t>
      </w:r>
      <w:r>
        <w:rPr>
          <w:rFonts w:hint="eastAsia" w:ascii="宋体" w:hAnsi="宋体" w:eastAsia="宋体"/>
          <w:sz w:val="24"/>
        </w:rPr>
        <w:t>承担。</w:t>
      </w:r>
    </w:p>
    <w:p>
      <w:pPr>
        <w:tabs>
          <w:tab w:val="left" w:pos="993"/>
        </w:tabs>
        <w:spacing w:line="360" w:lineRule="auto"/>
        <w:ind w:left="201" w:leftChars="0" w:hanging="201" w:hangingChars="84"/>
        <w:jc w:val="left"/>
        <w:rPr>
          <w:rFonts w:ascii="宋体" w:hAnsi="宋体" w:eastAsia="宋体"/>
          <w:sz w:val="24"/>
          <w:szCs w:val="24"/>
        </w:rPr>
      </w:pPr>
      <w:r>
        <w:rPr>
          <w:rFonts w:hint="eastAsia" w:ascii="宋体" w:hAnsi="宋体" w:eastAsia="宋体"/>
          <w:sz w:val="24"/>
          <w:szCs w:val="24"/>
          <w:lang w:val="en-US" w:eastAsia="zh-CN"/>
        </w:rPr>
        <w:t>7.</w:t>
      </w:r>
      <w:r>
        <w:rPr>
          <w:rFonts w:hint="eastAsia" w:ascii="宋体" w:hAnsi="宋体" w:eastAsia="宋体"/>
          <w:sz w:val="24"/>
        </w:rPr>
        <w:t>当甲方的产品在国家监督抽查中被查出不合格时，乙方对甲方实施监督</w:t>
      </w:r>
      <w:r>
        <w:rPr>
          <w:rFonts w:hint="eastAsia" w:ascii="宋体" w:hAnsi="宋体" w:eastAsia="宋体"/>
          <w:sz w:val="24"/>
          <w:lang w:eastAsia="zh-CN"/>
        </w:rPr>
        <w:t>审查</w:t>
      </w:r>
      <w:r>
        <w:rPr>
          <w:rFonts w:hint="eastAsia" w:ascii="宋体" w:hAnsi="宋体" w:eastAsia="宋体"/>
          <w:sz w:val="24"/>
        </w:rPr>
        <w:t>（监督</w:t>
      </w:r>
      <w:r>
        <w:rPr>
          <w:rFonts w:hint="eastAsia" w:ascii="宋体" w:hAnsi="宋体" w:eastAsia="宋体"/>
          <w:sz w:val="24"/>
          <w:lang w:eastAsia="zh-CN"/>
        </w:rPr>
        <w:t>审查</w:t>
      </w:r>
      <w:r>
        <w:rPr>
          <w:rFonts w:hint="eastAsia" w:ascii="宋体" w:hAnsi="宋体" w:eastAsia="宋体"/>
          <w:sz w:val="24"/>
        </w:rPr>
        <w:t>将在国家质检总局发布公告起30日内完成），甲方按本合同支付给乙方监督</w:t>
      </w:r>
      <w:r>
        <w:rPr>
          <w:rFonts w:hint="eastAsia" w:ascii="宋体" w:hAnsi="宋体" w:eastAsia="宋体"/>
          <w:sz w:val="24"/>
          <w:lang w:eastAsia="zh-CN"/>
        </w:rPr>
        <w:t>审查</w:t>
      </w:r>
      <w:r>
        <w:rPr>
          <w:rFonts w:hint="eastAsia" w:ascii="宋体" w:hAnsi="宋体" w:eastAsia="宋体"/>
          <w:sz w:val="24"/>
        </w:rPr>
        <w:t>费用；当甲方因发生严重投诉、严重事故、严重不合格、范围变更、经营地址变更、标准换版等情况，乙方须向甲方追加现场</w:t>
      </w:r>
      <w:r>
        <w:rPr>
          <w:rFonts w:hint="eastAsia" w:ascii="宋体" w:hAnsi="宋体" w:eastAsia="宋体"/>
          <w:sz w:val="24"/>
          <w:lang w:eastAsia="zh-CN"/>
        </w:rPr>
        <w:t>审查</w:t>
      </w:r>
      <w:r>
        <w:rPr>
          <w:rFonts w:hint="eastAsia" w:ascii="宋体" w:hAnsi="宋体" w:eastAsia="宋体"/>
          <w:sz w:val="24"/>
        </w:rPr>
        <w:t>时，乙方将向甲方收取追加现场</w:t>
      </w:r>
      <w:r>
        <w:rPr>
          <w:rFonts w:hint="eastAsia" w:ascii="宋体" w:hAnsi="宋体" w:eastAsia="宋体"/>
          <w:sz w:val="24"/>
          <w:lang w:eastAsia="zh-CN"/>
        </w:rPr>
        <w:t>审查</w:t>
      </w:r>
      <w:r>
        <w:rPr>
          <w:rFonts w:hint="eastAsia" w:ascii="宋体" w:hAnsi="宋体" w:eastAsia="宋体"/>
          <w:sz w:val="24"/>
        </w:rPr>
        <w:t>所发生的费用，由此导致的费用增加，由</w:t>
      </w:r>
      <w:r>
        <w:rPr>
          <w:rFonts w:ascii="宋体" w:hAnsi="宋体" w:eastAsia="宋体"/>
          <w:sz w:val="24"/>
        </w:rPr>
        <w:t>甲方</w:t>
      </w:r>
      <w:r>
        <w:rPr>
          <w:rFonts w:hint="eastAsia" w:ascii="宋体" w:hAnsi="宋体" w:eastAsia="宋体"/>
          <w:sz w:val="24"/>
        </w:rPr>
        <w:t>承担。</w:t>
      </w:r>
    </w:p>
    <w:p>
      <w:pPr>
        <w:spacing w:line="360" w:lineRule="auto"/>
        <w:jc w:val="left"/>
        <w:rPr>
          <w:rFonts w:ascii="宋体" w:hAnsi="宋体" w:eastAsia="宋体"/>
          <w:b/>
          <w:bCs/>
          <w:sz w:val="24"/>
          <w:szCs w:val="24"/>
        </w:rPr>
      </w:pPr>
      <w:r>
        <w:rPr>
          <w:rFonts w:hint="eastAsia" w:ascii="宋体" w:hAnsi="宋体" w:eastAsia="宋体"/>
          <w:b/>
          <w:bCs/>
          <w:sz w:val="24"/>
          <w:szCs w:val="24"/>
        </w:rPr>
        <w:t>第五条 甲方权利和义务</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建立覆盖认证范围，符合审查依据标准的服务评价系统并充分运行；甲方应承诺提供的有关证据和记录是真实的，一旦有证据表明甲方提供不真实的证据或记录，乙方有权随时</w:t>
      </w:r>
      <w:r>
        <w:rPr>
          <w:rFonts w:hint="eastAsia" w:ascii="宋体" w:hAnsi="宋体" w:eastAsia="宋体"/>
          <w:sz w:val="24"/>
          <w:szCs w:val="24"/>
          <w:lang w:val="en-US" w:eastAsia="zh-CN"/>
        </w:rPr>
        <w:t>暂停、</w:t>
      </w:r>
      <w:r>
        <w:rPr>
          <w:rFonts w:hint="eastAsia" w:ascii="宋体" w:hAnsi="宋体" w:eastAsia="宋体"/>
          <w:sz w:val="24"/>
          <w:szCs w:val="24"/>
        </w:rPr>
        <w:t>撤销已颁发给甲方的认证证书；</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向乙方提交真实有效的审查</w:t>
      </w:r>
      <w:r>
        <w:rPr>
          <w:rFonts w:ascii="宋体" w:hAnsi="宋体" w:eastAsia="宋体"/>
          <w:sz w:val="24"/>
          <w:szCs w:val="24"/>
        </w:rPr>
        <w:t>所需的所有文件和资料</w:t>
      </w:r>
      <w:r>
        <w:rPr>
          <w:rFonts w:hint="eastAsia" w:ascii="宋体" w:hAnsi="宋体" w:eastAsia="宋体"/>
          <w:sz w:val="24"/>
          <w:szCs w:val="24"/>
        </w:rPr>
        <w:t>，和必要的工作条件，否则甲方承担相应的认证风险；</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按合同约定向乙方支付</w:t>
      </w:r>
      <w:r>
        <w:rPr>
          <w:rFonts w:hint="eastAsia" w:ascii="宋体" w:hAnsi="宋体" w:eastAsia="宋体"/>
          <w:sz w:val="24"/>
          <w:szCs w:val="24"/>
          <w:lang w:eastAsia="zh-CN"/>
        </w:rPr>
        <w:t>审查</w:t>
      </w:r>
      <w:r>
        <w:rPr>
          <w:rFonts w:hint="eastAsia" w:ascii="宋体" w:hAnsi="宋体" w:eastAsia="宋体"/>
          <w:sz w:val="24"/>
          <w:szCs w:val="24"/>
        </w:rPr>
        <w:t>费用和其它费用。由于不按期支付，所造成</w:t>
      </w:r>
      <w:r>
        <w:rPr>
          <w:rFonts w:hint="eastAsia" w:ascii="宋体" w:hAnsi="宋体" w:eastAsia="宋体"/>
          <w:sz w:val="24"/>
          <w:szCs w:val="24"/>
          <w:lang w:eastAsia="zh-CN"/>
        </w:rPr>
        <w:t>审查</w:t>
      </w:r>
      <w:r>
        <w:rPr>
          <w:rFonts w:hint="eastAsia" w:ascii="宋体" w:hAnsi="宋体" w:eastAsia="宋体"/>
          <w:sz w:val="24"/>
          <w:szCs w:val="24"/>
        </w:rPr>
        <w:t>不能如期实施、证书暂停、注销、撤销的后果由甲方承担。</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lang w:val="en-US" w:eastAsia="zh-CN"/>
        </w:rPr>
        <w:t>初次</w:t>
      </w:r>
      <w:r>
        <w:rPr>
          <w:rFonts w:hint="eastAsia" w:ascii="宋体" w:hAnsi="宋体" w:eastAsia="宋体"/>
          <w:sz w:val="24"/>
          <w:szCs w:val="24"/>
        </w:rPr>
        <w:t>审查前确保</w:t>
      </w:r>
      <w:r>
        <w:rPr>
          <w:rFonts w:hint="eastAsia" w:ascii="宋体" w:hAnsi="宋体" w:eastAsia="宋体"/>
          <w:sz w:val="24"/>
          <w:szCs w:val="24"/>
          <w:lang w:val="en-US" w:eastAsia="zh-CN"/>
        </w:rPr>
        <w:t>建立相应服务系统</w:t>
      </w:r>
      <w:r>
        <w:rPr>
          <w:rFonts w:hint="eastAsia" w:ascii="宋体" w:hAnsi="宋体" w:eastAsia="宋体"/>
          <w:sz w:val="24"/>
          <w:szCs w:val="24"/>
        </w:rPr>
        <w:t>有效运行不少于3个月，获证后持续有效运行</w:t>
      </w:r>
      <w:r>
        <w:rPr>
          <w:rFonts w:hint="eastAsia" w:ascii="宋体" w:hAnsi="宋体" w:eastAsia="宋体"/>
          <w:sz w:val="24"/>
          <w:szCs w:val="24"/>
          <w:lang w:val="en-US" w:eastAsia="zh-CN"/>
        </w:rPr>
        <w:t>服务系统</w:t>
      </w:r>
      <w:r>
        <w:rPr>
          <w:rFonts w:hint="eastAsia" w:ascii="宋体" w:hAnsi="宋体" w:eastAsia="宋体"/>
          <w:sz w:val="24"/>
          <w:szCs w:val="24"/>
        </w:rPr>
        <w:t>；</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承诺遵守认证认可相关法律法规，协助认证监管部门的监督检查，对有关事项询问和调查如实提供相关材料和信息；</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获得认证后发生以下情况时，应及时向认证机构通报：①客户及相关方有重大投诉；②生产的产品或服务被执法监管部门认定不符合法定要求；③受到行政部门的处罚；④相关情况发生变更，包括：法律地位、生产经营状况、组织状态或所有权变更；取得的行政许可资格、强制性认证或其他资质证书变更；法定代表人、服务系统最高管理者变更；联系地址、注册地址、生产经营或服务的工作场所变更；服务认证覆盖的活动范围变更；⑤文件的变化；⑥适用法律法规及标准的变化；⑦出现影响服务系统运行或服务质量的其他重要情况；</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甲方应保证服务认证有关信息的真实性，因隐瞒服务认证覆盖的组织机构、人数、多场所数量等信息导致审查人日不足、多场所抽样量不足、审查结果无效或认证证书失效，由此造成的损失由甲方承担全责，并承担对乙方造成的损失；</w:t>
      </w:r>
    </w:p>
    <w:p>
      <w:pPr>
        <w:numPr>
          <w:ilvl w:val="0"/>
          <w:numId w:val="1"/>
        </w:numPr>
        <w:tabs>
          <w:tab w:val="left" w:pos="426"/>
        </w:tabs>
        <w:spacing w:line="360" w:lineRule="auto"/>
        <w:ind w:hangingChars="177"/>
        <w:jc w:val="left"/>
        <w:rPr>
          <w:rFonts w:ascii="宋体" w:hAnsi="宋体" w:eastAsia="宋体"/>
          <w:sz w:val="24"/>
          <w:szCs w:val="24"/>
        </w:rPr>
      </w:pPr>
      <w:r>
        <w:rPr>
          <w:rFonts w:hint="eastAsia" w:ascii="宋体" w:hAnsi="宋体" w:eastAsia="宋体"/>
          <w:sz w:val="24"/>
          <w:szCs w:val="24"/>
        </w:rPr>
        <w:t>接受乙方、认可机构等安排的非例行检查/审查、确认审查、见证评审等，并在检查/审查/评审中给予必要的配合；</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承诺甲方获得认证证书后按乙方公开文件的要求正确使用认证证书、认证标志和有关信息；不擅自利用</w:t>
      </w:r>
      <w:r>
        <w:rPr>
          <w:rFonts w:hint="eastAsia" w:ascii="宋体" w:hAnsi="宋体" w:eastAsia="宋体"/>
          <w:sz w:val="24"/>
          <w:szCs w:val="24"/>
          <w:lang w:val="en-US" w:eastAsia="zh-CN"/>
        </w:rPr>
        <w:t>服务</w:t>
      </w:r>
      <w:r>
        <w:rPr>
          <w:rFonts w:hint="eastAsia" w:ascii="宋体" w:hAnsi="宋体" w:eastAsia="宋体"/>
          <w:sz w:val="24"/>
          <w:szCs w:val="24"/>
        </w:rPr>
        <w:t>认证证书和相关文字、符号误导公众认为其产品或服务通过认证。</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甲方有权就认证活动向乙方客户服务部或相关管理机构提出申诉和投诉。</w:t>
      </w:r>
    </w:p>
    <w:p>
      <w:pPr>
        <w:numPr>
          <w:ilvl w:val="0"/>
          <w:numId w:val="1"/>
        </w:numPr>
        <w:tabs>
          <w:tab w:val="left" w:pos="426"/>
          <w:tab w:val="left" w:pos="993"/>
        </w:tabs>
        <w:spacing w:line="360" w:lineRule="auto"/>
        <w:ind w:hangingChars="177"/>
        <w:jc w:val="left"/>
        <w:rPr>
          <w:rFonts w:ascii="宋体" w:hAnsi="宋体" w:eastAsia="宋体"/>
          <w:sz w:val="24"/>
          <w:szCs w:val="24"/>
        </w:rPr>
      </w:pPr>
      <w:r>
        <w:rPr>
          <w:rFonts w:hint="eastAsia" w:ascii="宋体" w:hAnsi="宋体" w:eastAsia="宋体"/>
          <w:sz w:val="24"/>
          <w:szCs w:val="24"/>
        </w:rPr>
        <w:t>甲方证书被暂停期间或撤销、注销时，应立即停止宣传获证资格。在认证范围被缩小时，应修改与其相关的宣传材料；在注销（证书有效期已到终止时间）或撤销时，按照乙方撤销通知和公开文件要求，立即停止使用宣传获证资格的广告资料，并将证书归还乙方。</w:t>
      </w:r>
    </w:p>
    <w:p>
      <w:pPr>
        <w:spacing w:line="360" w:lineRule="auto"/>
        <w:jc w:val="left"/>
        <w:rPr>
          <w:rFonts w:ascii="宋体" w:hAnsi="宋体" w:eastAsia="宋体"/>
          <w:b/>
          <w:bCs/>
          <w:sz w:val="24"/>
          <w:szCs w:val="24"/>
        </w:rPr>
      </w:pPr>
      <w:r>
        <w:rPr>
          <w:rFonts w:hint="eastAsia" w:ascii="宋体" w:hAnsi="宋体" w:eastAsia="宋体"/>
          <w:b/>
          <w:bCs/>
          <w:sz w:val="24"/>
          <w:szCs w:val="24"/>
        </w:rPr>
        <w:t>第六条 乙方权利和义务</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乙方有权依据相关法律法规和现场审查结论，确定甲方认证注册范围；决定是否给予甲方认证注册和颁发证书；</w:t>
      </w:r>
    </w:p>
    <w:p>
      <w:pPr>
        <w:numPr>
          <w:ilvl w:val="0"/>
          <w:numId w:val="2"/>
        </w:numPr>
        <w:tabs>
          <w:tab w:val="left" w:pos="567"/>
        </w:tabs>
        <w:spacing w:line="360" w:lineRule="auto"/>
        <w:ind w:hangingChars="177"/>
        <w:jc w:val="left"/>
        <w:rPr>
          <w:rFonts w:ascii="宋体" w:hAnsi="宋体" w:eastAsia="宋体"/>
          <w:sz w:val="24"/>
          <w:szCs w:val="24"/>
        </w:rPr>
      </w:pPr>
      <w:r>
        <w:rPr>
          <w:rFonts w:ascii="宋体" w:hAnsi="宋体" w:eastAsia="宋体"/>
          <w:sz w:val="24"/>
          <w:szCs w:val="24"/>
        </w:rPr>
        <w:t>有权在甲方服务</w:t>
      </w:r>
      <w:r>
        <w:rPr>
          <w:rFonts w:hint="eastAsia" w:ascii="宋体" w:hAnsi="宋体" w:eastAsia="宋体"/>
          <w:sz w:val="24"/>
          <w:szCs w:val="24"/>
        </w:rPr>
        <w:t>系统或服务质量</w:t>
      </w:r>
      <w:r>
        <w:rPr>
          <w:rFonts w:ascii="宋体" w:hAnsi="宋体" w:eastAsia="宋体"/>
          <w:sz w:val="24"/>
          <w:szCs w:val="24"/>
        </w:rPr>
        <w:t>出现异常情况时，</w:t>
      </w:r>
      <w:r>
        <w:rPr>
          <w:rFonts w:hint="eastAsia" w:ascii="宋体" w:hAnsi="宋体" w:eastAsia="宋体"/>
          <w:sz w:val="24"/>
          <w:szCs w:val="24"/>
        </w:rPr>
        <w:t>适时地安排非例行的检查；其时间及费用由双方另行商定。如甲方的产品在产品质量国家监督抽查中被查出不合格时，甲方应在5日内向乙方通报，同时自国家质检总局发出通报起30日内，乙方应对甲方实施监督审查；</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向甲方提供资格证明文件及公开性文件，依约定向甲方提交审查计划；</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收到甲方按合同约定支付的相应费用后，安排审查组实施审查；</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遵守保密声明，未经甲方同意，不向任何第三方提供涉及甲方的保密资料（有法律要求的情况除外）；</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甲方获证后，乙方定期对其实施监督审查；</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乙方有权对违反有关规定的甲方，作出对其暂停或撤销认证证书的处理，</w:t>
      </w:r>
      <w:r>
        <w:rPr>
          <w:rFonts w:ascii="宋体" w:hAnsi="宋体" w:eastAsia="宋体"/>
          <w:sz w:val="24"/>
          <w:szCs w:val="24"/>
        </w:rPr>
        <w:t>并要求甲方停止使用和交还相关的认证证书</w:t>
      </w:r>
      <w:r>
        <w:rPr>
          <w:rFonts w:hint="eastAsia" w:ascii="宋体" w:hAnsi="宋体" w:eastAsia="宋体"/>
          <w:sz w:val="24"/>
          <w:szCs w:val="24"/>
        </w:rPr>
        <w:t>，且发布暂停或撤销公告；</w:t>
      </w:r>
    </w:p>
    <w:p>
      <w:pPr>
        <w:numPr>
          <w:ilvl w:val="0"/>
          <w:numId w:val="2"/>
        </w:numPr>
        <w:tabs>
          <w:tab w:val="left" w:pos="567"/>
        </w:tabs>
        <w:spacing w:line="360" w:lineRule="auto"/>
        <w:ind w:hangingChars="177"/>
        <w:jc w:val="left"/>
        <w:rPr>
          <w:rFonts w:ascii="宋体" w:hAnsi="宋体" w:eastAsia="宋体"/>
          <w:sz w:val="24"/>
          <w:szCs w:val="24"/>
        </w:rPr>
      </w:pPr>
      <w:r>
        <w:rPr>
          <w:rFonts w:hint="eastAsia" w:ascii="宋体" w:hAnsi="宋体" w:eastAsia="宋体"/>
          <w:sz w:val="24"/>
          <w:szCs w:val="24"/>
        </w:rPr>
        <w:t>由于非乙方原因导致本合同不能继续履行或终止的，乙方所收取的费用不予退还。甲方仍应支付</w:t>
      </w:r>
      <w:bookmarkStart w:id="0" w:name="_Hlk6233230"/>
      <w:r>
        <w:rPr>
          <w:rFonts w:hint="eastAsia" w:ascii="宋体" w:hAnsi="宋体" w:eastAsia="宋体"/>
          <w:sz w:val="24"/>
          <w:szCs w:val="24"/>
        </w:rPr>
        <w:t>剩余</w:t>
      </w:r>
      <w:bookmarkEnd w:id="0"/>
      <w:r>
        <w:rPr>
          <w:rFonts w:hint="eastAsia" w:ascii="宋体" w:hAnsi="宋体" w:eastAsia="宋体"/>
          <w:sz w:val="24"/>
          <w:szCs w:val="24"/>
        </w:rPr>
        <w:t>费用。</w:t>
      </w:r>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 xml:space="preserve">第七条 </w:t>
      </w:r>
      <w:r>
        <w:rPr>
          <w:rFonts w:ascii="宋体" w:hAnsi="宋体" w:eastAsia="宋体"/>
          <w:b/>
          <w:bCs/>
          <w:sz w:val="24"/>
          <w:szCs w:val="24"/>
        </w:rPr>
        <w:t xml:space="preserve"> </w:t>
      </w:r>
      <w:r>
        <w:rPr>
          <w:rFonts w:hint="eastAsia" w:ascii="宋体" w:hAnsi="宋体" w:eastAsia="宋体"/>
          <w:b/>
          <w:bCs/>
          <w:sz w:val="24"/>
          <w:szCs w:val="24"/>
        </w:rPr>
        <w:t>违约责任</w:t>
      </w:r>
    </w:p>
    <w:p>
      <w:pPr>
        <w:snapToGrid w:val="0"/>
        <w:spacing w:line="360" w:lineRule="auto"/>
        <w:ind w:firstLine="566" w:firstLineChars="236"/>
        <w:rPr>
          <w:rFonts w:ascii="宋体" w:hAnsi="宋体" w:eastAsia="宋体" w:cs="Times New Roman"/>
          <w:sz w:val="24"/>
          <w:szCs w:val="24"/>
        </w:rPr>
      </w:pPr>
      <w:r>
        <w:rPr>
          <w:rFonts w:ascii="宋体" w:hAnsi="宋体" w:eastAsia="宋体" w:cs="Times New Roman"/>
          <w:sz w:val="24"/>
          <w:szCs w:val="24"/>
        </w:rPr>
        <w:t>在认证过程中甲方因乙方责任</w:t>
      </w:r>
      <w:r>
        <w:rPr>
          <w:rFonts w:hint="eastAsia" w:ascii="宋体" w:hAnsi="宋体" w:eastAsia="宋体" w:cs="Times New Roman"/>
          <w:sz w:val="24"/>
          <w:szCs w:val="24"/>
        </w:rPr>
        <w:t>受到</w:t>
      </w:r>
      <w:r>
        <w:rPr>
          <w:rFonts w:ascii="宋体" w:hAnsi="宋体" w:eastAsia="宋体" w:cs="Times New Roman"/>
          <w:sz w:val="24"/>
          <w:szCs w:val="24"/>
        </w:rPr>
        <w:t>的任何损失，其索赔</w:t>
      </w:r>
      <w:r>
        <w:rPr>
          <w:rFonts w:hint="eastAsia" w:ascii="宋体" w:hAnsi="宋体" w:eastAsia="宋体" w:cs="Times New Roman"/>
          <w:sz w:val="24"/>
          <w:szCs w:val="24"/>
        </w:rPr>
        <w:t>金额</w:t>
      </w:r>
      <w:r>
        <w:rPr>
          <w:rFonts w:ascii="宋体" w:hAnsi="宋体" w:eastAsia="宋体" w:cs="Times New Roman"/>
          <w:sz w:val="24"/>
          <w:szCs w:val="24"/>
        </w:rPr>
        <w:t>不得超过甲方向乙方交纳的认证费；乙方将不承担超出认证费以外的任何损失赔偿。</w:t>
      </w:r>
      <w:r>
        <w:rPr>
          <w:rFonts w:hint="eastAsia" w:ascii="宋体" w:hAnsi="宋体" w:eastAsia="宋体" w:cs="Times New Roman"/>
          <w:sz w:val="24"/>
          <w:szCs w:val="24"/>
        </w:rPr>
        <w:t>发生不可抗力的情况时，双方均不承担违约责任。</w:t>
      </w:r>
    </w:p>
    <w:p>
      <w:pPr>
        <w:spacing w:line="360" w:lineRule="auto"/>
        <w:ind w:left="995" w:leftChars="1" w:hanging="993" w:hangingChars="412"/>
        <w:jc w:val="left"/>
        <w:rPr>
          <w:rFonts w:ascii="宋体" w:hAnsi="宋体" w:eastAsia="宋体" w:cs="Times New Roman"/>
          <w:b/>
          <w:bCs/>
          <w:sz w:val="24"/>
          <w:szCs w:val="24"/>
        </w:rPr>
      </w:pPr>
      <w:r>
        <w:rPr>
          <w:rFonts w:hint="eastAsia" w:ascii="宋体" w:hAnsi="宋体" w:eastAsia="宋体" w:cs="Times New Roman"/>
          <w:b/>
          <w:bCs/>
          <w:sz w:val="24"/>
          <w:szCs w:val="24"/>
        </w:rPr>
        <w:t>第八条  争议处理</w:t>
      </w:r>
    </w:p>
    <w:p>
      <w:pPr>
        <w:spacing w:line="360" w:lineRule="auto"/>
        <w:ind w:left="2" w:firstLine="564" w:firstLineChars="235"/>
        <w:jc w:val="left"/>
        <w:rPr>
          <w:rFonts w:ascii="宋体" w:hAnsi="宋体" w:eastAsia="宋体"/>
          <w:sz w:val="24"/>
          <w:szCs w:val="24"/>
        </w:rPr>
      </w:pPr>
      <w:r>
        <w:rPr>
          <w:rFonts w:ascii="宋体" w:hAnsi="宋体" w:eastAsia="宋体" w:cs="Times New Roman"/>
          <w:sz w:val="24"/>
          <w:szCs w:val="24"/>
        </w:rPr>
        <w:t>因本合同所发生的争议，甲乙双方协商解决。协商解决不成，</w:t>
      </w:r>
      <w:r>
        <w:rPr>
          <w:rFonts w:hint="eastAsia" w:ascii="宋体" w:hAnsi="宋体" w:eastAsia="宋体" w:cs="Times New Roman"/>
          <w:sz w:val="24"/>
          <w:szCs w:val="24"/>
        </w:rPr>
        <w:t>双方均有权</w:t>
      </w:r>
      <w:r>
        <w:rPr>
          <w:rFonts w:hint="eastAsia" w:ascii="宋体" w:hAnsi="宋体" w:eastAsia="宋体"/>
          <w:sz w:val="24"/>
          <w:szCs w:val="24"/>
        </w:rPr>
        <w:t>向北京仲裁委员会提起仲裁，北京仲裁委员会的裁决为终局裁决。</w:t>
      </w:r>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第九条  合同变更</w:t>
      </w:r>
    </w:p>
    <w:p>
      <w:pPr>
        <w:spacing w:line="360" w:lineRule="auto"/>
        <w:ind w:left="2" w:firstLine="565"/>
        <w:jc w:val="left"/>
        <w:rPr>
          <w:rFonts w:ascii="宋体" w:hAnsi="宋体" w:eastAsia="宋体" w:cs="Times New Roman"/>
          <w:sz w:val="24"/>
          <w:szCs w:val="24"/>
        </w:rPr>
      </w:pPr>
      <w:r>
        <w:rPr>
          <w:rFonts w:ascii="宋体" w:hAnsi="宋体" w:eastAsia="宋体" w:cs="Times New Roman"/>
          <w:sz w:val="24"/>
          <w:szCs w:val="24"/>
        </w:rPr>
        <w:t>在合同有效期内，因合同一方提出变更合同条款时，经双方协商一致，应签署《合同更改补充协议》。补充协议中新条款生效后，本合同中与其相抵触的条款失效。《合同更改补充协议》与本合同具有同等的法律效力。</w:t>
      </w:r>
    </w:p>
    <w:p>
      <w:pPr>
        <w:spacing w:line="360" w:lineRule="auto"/>
        <w:ind w:left="995" w:leftChars="1" w:hanging="993" w:hangingChars="412"/>
        <w:jc w:val="left"/>
        <w:rPr>
          <w:rFonts w:ascii="宋体" w:hAnsi="宋体" w:eastAsia="宋体"/>
          <w:b/>
          <w:bCs/>
          <w:sz w:val="24"/>
          <w:szCs w:val="24"/>
        </w:rPr>
      </w:pPr>
      <w:r>
        <w:rPr>
          <w:rFonts w:hint="eastAsia" w:ascii="宋体" w:hAnsi="宋体" w:eastAsia="宋体"/>
          <w:b/>
          <w:bCs/>
          <w:sz w:val="24"/>
          <w:szCs w:val="24"/>
        </w:rPr>
        <w:t xml:space="preserve">第十条  </w:t>
      </w:r>
      <w:r>
        <w:rPr>
          <w:rFonts w:ascii="宋体" w:hAnsi="宋体" w:eastAsia="宋体"/>
          <w:b/>
          <w:bCs/>
          <w:sz w:val="24"/>
          <w:szCs w:val="24"/>
        </w:rPr>
        <w:t>合同生效、违约、终止和期限</w:t>
      </w:r>
    </w:p>
    <w:p>
      <w:pPr>
        <w:pStyle w:val="9"/>
        <w:numPr>
          <w:ilvl w:val="0"/>
          <w:numId w:val="3"/>
        </w:numPr>
        <w:tabs>
          <w:tab w:val="left" w:pos="567"/>
        </w:tabs>
        <w:spacing w:line="360" w:lineRule="auto"/>
        <w:ind w:firstLineChars="0"/>
        <w:jc w:val="left"/>
        <w:rPr>
          <w:rFonts w:ascii="宋体" w:hAnsi="宋体"/>
          <w:sz w:val="24"/>
        </w:rPr>
      </w:pPr>
      <w:r>
        <w:rPr>
          <w:rFonts w:ascii="宋体" w:hAnsi="宋体"/>
          <w:sz w:val="24"/>
        </w:rPr>
        <w:t>本合同一式两份，甲乙双方签字盖章完成签署之日起生效，甲乙双方各执一份</w:t>
      </w:r>
      <w:r>
        <w:rPr>
          <w:rFonts w:hint="eastAsia" w:ascii="宋体" w:hAnsi="宋体"/>
          <w:sz w:val="24"/>
        </w:rPr>
        <w:t>；</w:t>
      </w:r>
    </w:p>
    <w:p>
      <w:pPr>
        <w:numPr>
          <w:ilvl w:val="0"/>
          <w:numId w:val="3"/>
        </w:numPr>
        <w:tabs>
          <w:tab w:val="left" w:pos="567"/>
        </w:tabs>
        <w:spacing w:line="360" w:lineRule="auto"/>
        <w:ind w:left="425" w:hanging="424" w:hangingChars="177"/>
        <w:jc w:val="left"/>
        <w:rPr>
          <w:rFonts w:ascii="宋体" w:hAnsi="宋体" w:eastAsia="宋体"/>
          <w:sz w:val="24"/>
          <w:szCs w:val="24"/>
        </w:rPr>
      </w:pPr>
      <w:r>
        <w:rPr>
          <w:rFonts w:hint="eastAsia" w:ascii="宋体" w:hAnsi="宋体" w:eastAsia="宋体"/>
          <w:sz w:val="24"/>
          <w:szCs w:val="24"/>
        </w:rPr>
        <w:t>本合同自签定之日起至获证后三年有效</w:t>
      </w:r>
      <w:r>
        <w:rPr>
          <w:rFonts w:ascii="宋体" w:hAnsi="宋体" w:eastAsia="宋体"/>
          <w:sz w:val="24"/>
          <w:szCs w:val="24"/>
        </w:rPr>
        <w:t>。任何一方欲中止本合同须提前30日书面通知对方，双方协商一致后方得中止</w:t>
      </w:r>
      <w:r>
        <w:rPr>
          <w:rFonts w:hint="eastAsia" w:ascii="宋体" w:hAnsi="宋体" w:eastAsia="宋体"/>
          <w:sz w:val="24"/>
          <w:szCs w:val="24"/>
        </w:rPr>
        <w:t>；</w:t>
      </w:r>
    </w:p>
    <w:p>
      <w:pPr>
        <w:numPr>
          <w:ilvl w:val="0"/>
          <w:numId w:val="3"/>
        </w:numPr>
        <w:tabs>
          <w:tab w:val="left" w:pos="567"/>
        </w:tabs>
        <w:spacing w:line="360" w:lineRule="auto"/>
        <w:ind w:left="425" w:hanging="424" w:hangingChars="177"/>
        <w:jc w:val="left"/>
        <w:rPr>
          <w:rFonts w:ascii="宋体" w:hAnsi="宋体" w:eastAsia="宋体"/>
          <w:sz w:val="24"/>
          <w:szCs w:val="24"/>
        </w:rPr>
      </w:pPr>
      <w:r>
        <w:rPr>
          <w:rFonts w:ascii="宋体" w:hAnsi="宋体" w:eastAsia="宋体"/>
          <w:sz w:val="24"/>
          <w:szCs w:val="24"/>
        </w:rPr>
        <w:t>下列情况下，合同自然终止失效：</w:t>
      </w:r>
    </w:p>
    <w:p>
      <w:pPr>
        <w:pStyle w:val="9"/>
        <w:numPr>
          <w:ilvl w:val="0"/>
          <w:numId w:val="4"/>
        </w:numPr>
        <w:tabs>
          <w:tab w:val="left" w:pos="567"/>
        </w:tabs>
        <w:spacing w:line="360" w:lineRule="auto"/>
        <w:ind w:firstLineChars="0"/>
        <w:jc w:val="left"/>
        <w:rPr>
          <w:rFonts w:ascii="宋体" w:hAnsi="宋体"/>
          <w:sz w:val="24"/>
        </w:rPr>
      </w:pPr>
      <w:r>
        <w:rPr>
          <w:rFonts w:ascii="宋体" w:hAnsi="宋体"/>
          <w:sz w:val="24"/>
        </w:rPr>
        <w:t>乙方对甲方的认证结论为不</w:t>
      </w:r>
      <w:r>
        <w:rPr>
          <w:rFonts w:hint="eastAsia" w:ascii="宋体" w:hAnsi="宋体"/>
          <w:sz w:val="24"/>
        </w:rPr>
        <w:t>通过时</w:t>
      </w:r>
      <w:r>
        <w:rPr>
          <w:rFonts w:ascii="宋体" w:hAnsi="宋体"/>
          <w:sz w:val="24"/>
        </w:rPr>
        <w:t>；</w:t>
      </w:r>
    </w:p>
    <w:p>
      <w:pPr>
        <w:pStyle w:val="9"/>
        <w:numPr>
          <w:ilvl w:val="0"/>
          <w:numId w:val="4"/>
        </w:numPr>
        <w:spacing w:line="360" w:lineRule="auto"/>
        <w:ind w:firstLineChars="0"/>
        <w:jc w:val="left"/>
        <w:rPr>
          <w:rFonts w:ascii="宋体" w:hAnsi="宋体"/>
          <w:sz w:val="24"/>
        </w:rPr>
      </w:pPr>
      <w:r>
        <w:rPr>
          <w:rFonts w:ascii="宋体" w:hAnsi="宋体"/>
          <w:sz w:val="24"/>
        </w:rPr>
        <w:t>认证证书有效期满三年时，双方未续约</w:t>
      </w:r>
      <w:r>
        <w:rPr>
          <w:rFonts w:hint="eastAsia" w:ascii="宋体" w:hAnsi="宋体"/>
          <w:sz w:val="24"/>
        </w:rPr>
        <w:t>。</w:t>
      </w:r>
    </w:p>
    <w:p>
      <w:pPr>
        <w:spacing w:line="276" w:lineRule="auto"/>
        <w:jc w:val="left"/>
        <w:rPr>
          <w:rFonts w:ascii="宋体" w:hAnsi="宋体" w:eastAsia="宋体"/>
          <w:sz w:val="24"/>
          <w:szCs w:val="24"/>
        </w:rPr>
      </w:pPr>
    </w:p>
    <w:tbl>
      <w:tblPr>
        <w:tblStyle w:val="7"/>
        <w:tblpPr w:leftFromText="180" w:rightFromText="180" w:vertAnchor="text" w:horzAnchor="margin" w:tblpY="31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8"/>
        <w:gridCol w:w="5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4968" w:type="dxa"/>
            <w:tcBorders>
              <w:top w:val="nil"/>
              <w:left w:val="nil"/>
              <w:bottom w:val="nil"/>
              <w:right w:val="nil"/>
            </w:tcBorders>
          </w:tcPr>
          <w:p>
            <w:pPr>
              <w:spacing w:line="720" w:lineRule="auto"/>
              <w:jc w:val="left"/>
              <w:rPr>
                <w:rFonts w:ascii="宋体" w:hAnsi="宋体" w:eastAsia="宋体"/>
                <w:sz w:val="24"/>
                <w:szCs w:val="24"/>
              </w:rPr>
            </w:pPr>
            <w:r>
              <w:rPr>
                <w:rFonts w:hint="eastAsia" w:ascii="宋体" w:hAnsi="宋体" w:eastAsia="宋体"/>
                <w:sz w:val="24"/>
                <w:szCs w:val="24"/>
              </w:rPr>
              <w:t>甲方名称：</w:t>
            </w:r>
          </w:p>
          <w:p>
            <w:pPr>
              <w:spacing w:line="720" w:lineRule="auto"/>
              <w:jc w:val="left"/>
              <w:rPr>
                <w:rFonts w:ascii="宋体" w:hAnsi="宋体" w:eastAsia="宋体"/>
                <w:sz w:val="24"/>
                <w:szCs w:val="24"/>
              </w:rPr>
            </w:pPr>
            <w:r>
              <w:rPr>
                <w:rFonts w:hint="eastAsia" w:ascii="宋体" w:hAnsi="宋体" w:eastAsia="宋体"/>
                <w:sz w:val="24"/>
                <w:szCs w:val="24"/>
              </w:rPr>
              <w:t>（盖章）</w:t>
            </w:r>
          </w:p>
        </w:tc>
        <w:tc>
          <w:tcPr>
            <w:tcW w:w="5063" w:type="dxa"/>
            <w:tcBorders>
              <w:top w:val="nil"/>
              <w:left w:val="nil"/>
              <w:bottom w:val="nil"/>
              <w:right w:val="nil"/>
            </w:tcBorders>
          </w:tcPr>
          <w:p>
            <w:pPr>
              <w:spacing w:line="720" w:lineRule="auto"/>
              <w:jc w:val="left"/>
              <w:rPr>
                <w:rFonts w:ascii="宋体" w:hAnsi="宋体" w:eastAsia="宋体"/>
                <w:sz w:val="24"/>
                <w:szCs w:val="24"/>
              </w:rPr>
            </w:pPr>
            <w:r>
              <w:rPr>
                <w:rFonts w:hint="eastAsia" w:ascii="宋体" w:hAnsi="宋体" w:eastAsia="宋体"/>
                <w:sz w:val="24"/>
                <w:szCs w:val="24"/>
              </w:rPr>
              <w:t>乙方名称：北京中鼎乾元认证有限公司</w:t>
            </w:r>
          </w:p>
          <w:p>
            <w:pPr>
              <w:spacing w:line="720" w:lineRule="auto"/>
              <w:jc w:val="left"/>
              <w:rPr>
                <w:rFonts w:ascii="宋体" w:hAnsi="宋体" w:eastAsia="宋体"/>
                <w:sz w:val="24"/>
                <w:szCs w:val="24"/>
              </w:rPr>
            </w:pPr>
            <w:r>
              <w:rPr>
                <w:rFonts w:hint="eastAsia" w:ascii="宋体" w:hAnsi="宋体" w:eastAsia="宋体"/>
                <w:sz w:val="24"/>
                <w:szCs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 w:hRule="atLeast"/>
        </w:trPr>
        <w:tc>
          <w:tcPr>
            <w:tcW w:w="4968"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甲方代表签字：</w:t>
            </w:r>
          </w:p>
        </w:tc>
        <w:tc>
          <w:tcPr>
            <w:tcW w:w="5063"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乙方代表签字：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0" w:hRule="atLeast"/>
        </w:trPr>
        <w:tc>
          <w:tcPr>
            <w:tcW w:w="4968"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日    期：</w:t>
            </w:r>
          </w:p>
        </w:tc>
        <w:tc>
          <w:tcPr>
            <w:tcW w:w="5063" w:type="dxa"/>
            <w:vAlign w:val="center"/>
          </w:tcPr>
          <w:p>
            <w:pPr>
              <w:spacing w:line="720" w:lineRule="auto"/>
              <w:jc w:val="left"/>
              <w:rPr>
                <w:rFonts w:ascii="宋体" w:hAnsi="宋体" w:eastAsia="宋体"/>
                <w:sz w:val="24"/>
                <w:szCs w:val="24"/>
              </w:rPr>
            </w:pPr>
            <w:r>
              <w:rPr>
                <w:rFonts w:hint="eastAsia" w:ascii="宋体" w:hAnsi="宋体" w:eastAsia="宋体"/>
                <w:sz w:val="24"/>
                <w:szCs w:val="24"/>
              </w:rPr>
              <w:t>日    期：</w:t>
            </w:r>
          </w:p>
        </w:tc>
      </w:tr>
    </w:tbl>
    <w:p>
      <w:pPr>
        <w:spacing w:line="276" w:lineRule="auto"/>
        <w:jc w:val="left"/>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sectPr>
      <w:headerReference r:id="rId3" w:type="default"/>
      <w:footerReference r:id="rId4" w:type="default"/>
      <w:pgSz w:w="11906" w:h="16838"/>
      <w:pgMar w:top="737" w:right="1021" w:bottom="737" w:left="1021" w:header="568" w:footer="396"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923" w:type="dxa"/>
      <w:tblInd w:w="108" w:type="dxa"/>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5"/>
      <w:gridCol w:w="8188"/>
    </w:tblGrid>
    <w:tr>
      <w:tblPrEx>
        <w:tblBorders>
          <w:top w:val="thickThinSmallGap" w:color="auto" w:sz="2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35" w:type="dxa"/>
          <w:tcBorders>
            <w:top w:val="thickThinSmallGap" w:color="auto" w:sz="24" w:space="0"/>
          </w:tcBorders>
        </w:tcPr>
        <w:p>
          <w:pPr>
            <w:pStyle w:val="5"/>
            <w:ind w:left="-351" w:leftChars="-167" w:firstLine="361" w:firstLineChars="200"/>
            <w:rPr>
              <w:rFonts w:ascii="黑体" w:eastAsia="黑体"/>
              <w:b/>
              <w:bCs/>
            </w:rPr>
          </w:pPr>
        </w:p>
      </w:tc>
      <w:tc>
        <w:tcPr>
          <w:tcW w:w="8188" w:type="dxa"/>
          <w:tcBorders>
            <w:top w:val="thickThinSmallGap" w:color="auto" w:sz="24" w:space="0"/>
          </w:tcBorders>
        </w:tcPr>
        <w:p>
          <w:pPr>
            <w:pStyle w:val="5"/>
            <w:tabs>
              <w:tab w:val="left" w:pos="2445"/>
            </w:tabs>
            <w:ind w:firstLine="452" w:firstLineChars="250"/>
            <w:rPr>
              <w:rFonts w:ascii="黑体" w:eastAsia="黑体"/>
              <w:b/>
              <w:bCs/>
            </w:rPr>
          </w:pPr>
          <w:r>
            <w:rPr>
              <w:rFonts w:hint="eastAsia" w:ascii="黑体" w:eastAsia="黑体" w:cs="黑体"/>
              <w:b/>
              <w:bCs/>
            </w:rPr>
            <w:t>发布</w:t>
          </w:r>
          <w:r>
            <w:rPr>
              <w:rFonts w:ascii="黑体" w:eastAsia="黑体" w:cs="黑体"/>
              <w:b/>
              <w:bCs/>
            </w:rPr>
            <w:t>/</w:t>
          </w:r>
          <w:r>
            <w:rPr>
              <w:rFonts w:hint="eastAsia" w:ascii="黑体" w:eastAsia="黑体" w:cs="黑体"/>
              <w:b/>
              <w:bCs/>
            </w:rPr>
            <w:t>修订日期：20</w:t>
          </w:r>
          <w:r>
            <w:rPr>
              <w:rFonts w:ascii="黑体" w:eastAsia="黑体" w:cs="黑体"/>
              <w:b/>
              <w:bCs/>
            </w:rPr>
            <w:t>2</w:t>
          </w:r>
          <w:r>
            <w:rPr>
              <w:rFonts w:hint="eastAsia" w:ascii="黑体" w:eastAsia="黑体" w:cs="黑体"/>
              <w:b/>
              <w:bCs/>
              <w:lang w:val="en-US" w:eastAsia="zh-CN"/>
            </w:rPr>
            <w:t>3</w:t>
          </w:r>
          <w:r>
            <w:rPr>
              <w:rFonts w:ascii="黑体" w:eastAsia="黑体" w:cs="黑体"/>
              <w:b/>
              <w:bCs/>
            </w:rPr>
            <w:t>-</w:t>
          </w:r>
          <w:r>
            <w:rPr>
              <w:rFonts w:hint="eastAsia" w:ascii="黑体" w:eastAsia="黑体" w:cs="黑体"/>
              <w:b/>
              <w:bCs/>
              <w:lang w:val="en-US" w:eastAsia="zh-CN"/>
            </w:rPr>
            <w:t>06</w:t>
          </w:r>
          <w:r>
            <w:rPr>
              <w:rFonts w:ascii="黑体" w:eastAsia="黑体" w:cs="黑体"/>
              <w:b/>
              <w:bCs/>
            </w:rPr>
            <w:t>-0</w:t>
          </w:r>
          <w:r>
            <w:rPr>
              <w:rFonts w:hint="eastAsia" w:ascii="黑体" w:eastAsia="黑体" w:cs="黑体"/>
              <w:b/>
              <w:bCs/>
              <w:lang w:val="en-US" w:eastAsia="zh-CN"/>
            </w:rPr>
            <w:t>2</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 xml:space="preserve"> 实施日期：20</w:t>
          </w:r>
          <w:r>
            <w:rPr>
              <w:rFonts w:ascii="黑体" w:eastAsia="黑体" w:cs="黑体"/>
              <w:b/>
              <w:bCs/>
            </w:rPr>
            <w:t>2</w:t>
          </w:r>
          <w:r>
            <w:rPr>
              <w:rFonts w:hint="eastAsia" w:ascii="黑体" w:eastAsia="黑体" w:cs="黑体"/>
              <w:b/>
              <w:bCs/>
              <w:lang w:val="en-US" w:eastAsia="zh-CN"/>
            </w:rPr>
            <w:t>3</w:t>
          </w:r>
          <w:r>
            <w:rPr>
              <w:rFonts w:ascii="黑体" w:eastAsia="黑体" w:cs="黑体"/>
              <w:b/>
              <w:bCs/>
            </w:rPr>
            <w:t>-</w:t>
          </w:r>
          <w:r>
            <w:rPr>
              <w:rFonts w:hint="eastAsia" w:ascii="黑体" w:eastAsia="黑体" w:cs="黑体"/>
              <w:b/>
              <w:bCs/>
              <w:lang w:val="en-US" w:eastAsia="zh-CN"/>
            </w:rPr>
            <w:t>06</w:t>
          </w:r>
          <w:r>
            <w:rPr>
              <w:rFonts w:ascii="黑体" w:eastAsia="黑体" w:cs="黑体"/>
              <w:b/>
              <w:bCs/>
            </w:rPr>
            <w:t>-0</w:t>
          </w:r>
          <w:r>
            <w:rPr>
              <w:rFonts w:hint="eastAsia" w:ascii="黑体" w:eastAsia="黑体" w:cs="黑体"/>
              <w:b/>
              <w:bCs/>
              <w:lang w:val="en-US" w:eastAsia="zh-CN"/>
            </w:rPr>
            <w:t>2</w:t>
          </w:r>
          <w:r>
            <w:rPr>
              <w:rFonts w:ascii="黑体" w:eastAsia="黑体" w:cs="黑体"/>
              <w:b/>
              <w:bCs/>
            </w:rPr>
            <w:t xml:space="preserve"> </w:t>
          </w:r>
          <w:r>
            <w:rPr>
              <w:rFonts w:hint="eastAsia" w:ascii="黑体" w:eastAsia="黑体" w:cs="黑体"/>
              <w:b/>
              <w:bCs/>
            </w:rPr>
            <w:t xml:space="preserve"> </w:t>
          </w:r>
          <w:r>
            <w:rPr>
              <w:rFonts w:ascii="黑体" w:eastAsia="黑体" w:cs="黑体"/>
              <w:b/>
              <w:bCs/>
            </w:rPr>
            <w:t xml:space="preserve">           </w:t>
          </w:r>
          <w:r>
            <w:rPr>
              <w:rFonts w:hint="eastAsia" w:ascii="黑体" w:eastAsia="黑体" w:cs="黑体"/>
              <w:b/>
              <w:bCs/>
            </w:rPr>
            <w:t>第</w:t>
          </w:r>
          <w:r>
            <w:rPr>
              <w:rFonts w:ascii="黑体" w:eastAsia="黑体" w:cs="黑体"/>
              <w:b/>
              <w:bCs/>
            </w:rPr>
            <w:fldChar w:fldCharType="begin"/>
          </w:r>
          <w:r>
            <w:rPr>
              <w:rFonts w:ascii="黑体" w:eastAsia="黑体" w:cs="黑体"/>
              <w:b/>
              <w:bCs/>
            </w:rPr>
            <w:instrText xml:space="preserve"> PAGE </w:instrText>
          </w:r>
          <w:r>
            <w:rPr>
              <w:rFonts w:ascii="黑体" w:eastAsia="黑体" w:cs="黑体"/>
              <w:b/>
              <w:bCs/>
            </w:rPr>
            <w:fldChar w:fldCharType="separate"/>
          </w:r>
          <w:r>
            <w:rPr>
              <w:rFonts w:ascii="黑体" w:eastAsia="黑体" w:cs="黑体"/>
              <w:b/>
              <w:bCs/>
            </w:rPr>
            <w:t>4</w:t>
          </w:r>
          <w:r>
            <w:rPr>
              <w:rFonts w:ascii="黑体" w:eastAsia="黑体" w:cs="黑体"/>
              <w:b/>
              <w:bCs/>
            </w:rPr>
            <w:fldChar w:fldCharType="end"/>
          </w:r>
          <w:r>
            <w:rPr>
              <w:rFonts w:hint="eastAsia" w:ascii="黑体" w:eastAsia="黑体" w:cs="黑体"/>
              <w:b/>
              <w:bCs/>
            </w:rPr>
            <w:t>页共</w:t>
          </w:r>
          <w:r>
            <w:rPr>
              <w:rFonts w:ascii="黑体" w:eastAsia="黑体" w:cs="黑体"/>
              <w:b/>
              <w:bCs/>
            </w:rPr>
            <w:fldChar w:fldCharType="begin"/>
          </w:r>
          <w:r>
            <w:rPr>
              <w:rFonts w:ascii="黑体" w:eastAsia="黑体" w:cs="黑体"/>
              <w:b/>
              <w:bCs/>
            </w:rPr>
            <w:instrText xml:space="preserve"> NUMPAGES </w:instrText>
          </w:r>
          <w:r>
            <w:rPr>
              <w:rFonts w:ascii="黑体" w:eastAsia="黑体" w:cs="黑体"/>
              <w:b/>
              <w:bCs/>
            </w:rPr>
            <w:fldChar w:fldCharType="separate"/>
          </w:r>
          <w:r>
            <w:rPr>
              <w:rFonts w:ascii="黑体" w:eastAsia="黑体" w:cs="黑体"/>
              <w:b/>
              <w:bCs/>
            </w:rPr>
            <w:t>5</w:t>
          </w:r>
          <w:r>
            <w:rPr>
              <w:rFonts w:ascii="黑体" w:eastAsia="黑体" w:cs="黑体"/>
              <w:b/>
              <w:bCs/>
            </w:rPr>
            <w:fldChar w:fldCharType="end"/>
          </w:r>
          <w:r>
            <w:rPr>
              <w:rFonts w:hint="eastAsia" w:ascii="黑体" w:eastAsia="黑体" w:cs="黑体"/>
              <w:b/>
              <w:bCs/>
            </w:rPr>
            <w:t>页</w:t>
          </w:r>
        </w:p>
      </w:tc>
    </w:tr>
  </w:tbl>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firstLineChars="200"/>
      <w:jc w:val="both"/>
      <w:rPr>
        <w:rFonts w:ascii="宋体" w:hAnsi="宋体" w:eastAsia="宋体"/>
      </w:rPr>
    </w:pPr>
    <w:r>
      <w:drawing>
        <wp:anchor distT="0" distB="0" distL="114300" distR="114300" simplePos="0" relativeHeight="251660288" behindDoc="1" locked="0" layoutInCell="1" allowOverlap="1">
          <wp:simplePos x="0" y="0"/>
          <wp:positionH relativeFrom="column">
            <wp:posOffset>-100965</wp:posOffset>
          </wp:positionH>
          <wp:positionV relativeFrom="paragraph">
            <wp:posOffset>-142875</wp:posOffset>
          </wp:positionV>
          <wp:extent cx="455295" cy="306705"/>
          <wp:effectExtent l="0" t="0" r="1905"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5295" cy="306705"/>
                  </a:xfrm>
                  <a:prstGeom prst="rect">
                    <a:avLst/>
                  </a:prstGeom>
                  <a:noFill/>
                  <a:ln w="9525">
                    <a:noFill/>
                    <a:miter lim="800000"/>
                    <a:headEnd/>
                    <a:tailEnd/>
                  </a:ln>
                </pic:spPr>
              </pic:pic>
            </a:graphicData>
          </a:graphic>
        </wp:anchor>
      </w:drawing>
    </w:r>
    <w:r>
      <w:rPr>
        <w:rFonts w:hint="eastAsia" w:ascii="宋体" w:hAnsi="宋体" w:eastAsia="宋体"/>
        <w:b/>
        <w:bCs/>
      </w:rPr>
      <w:t>北京中鼎乾元认证有限公司</w:t>
    </w:r>
    <w:r>
      <w:rPr>
        <w:rFonts w:ascii="宋体" w:hAnsi="宋体" w:eastAsia="宋体"/>
      </w:rPr>
      <w:ptab w:relativeTo="margin" w:alignment="center" w:leader="none"/>
    </w:r>
    <w:r>
      <w:rPr>
        <w:rFonts w:ascii="宋体" w:hAnsi="宋体" w:eastAsia="宋体"/>
      </w:rPr>
      <w:ptab w:relativeTo="margin" w:alignment="right" w:leader="none"/>
    </w:r>
    <w:r>
      <w:rPr>
        <w:rFonts w:ascii="宋体" w:hAnsi="宋体" w:eastAsia="宋体"/>
      </w:rPr>
      <w:t xml:space="preserve"> ZDQY-GZJL-04-059</w:t>
    </w:r>
    <w:r>
      <w:rPr>
        <w:rFonts w:hint="eastAsia" w:ascii="宋体" w:hAnsi="宋体" w:eastAsia="宋体"/>
      </w:rPr>
      <w:t>（</w:t>
    </w:r>
    <w:r>
      <w:rPr>
        <w:rFonts w:ascii="宋体" w:hAnsi="宋体" w:eastAsia="宋体"/>
      </w:rPr>
      <w:t>B/</w:t>
    </w:r>
    <w:r>
      <w:rPr>
        <w:rFonts w:hint="eastAsia" w:ascii="宋体" w:hAnsi="宋体" w:eastAsia="宋体"/>
        <w:lang w:val="en-US" w:eastAsia="zh-CN"/>
      </w:rPr>
      <w:t>2</w:t>
    </w:r>
    <w:r>
      <w:rPr>
        <w:rFonts w:hint="eastAsia" w:ascii="宋体" w:hAnsi="宋体" w:eastAsia="宋体"/>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CD1A86"/>
    <w:multiLevelType w:val="multilevel"/>
    <w:tmpl w:val="2FCD1A86"/>
    <w:lvl w:ilvl="0" w:tentative="0">
      <w:start w:val="1"/>
      <w:numFmt w:val="lowerLetter"/>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59560CEB"/>
    <w:multiLevelType w:val="singleLevel"/>
    <w:tmpl w:val="59560CEB"/>
    <w:lvl w:ilvl="0" w:tentative="0">
      <w:start w:val="1"/>
      <w:numFmt w:val="decimal"/>
      <w:lvlText w:val="%1."/>
      <w:lvlJc w:val="left"/>
      <w:pPr>
        <w:ind w:left="425" w:hanging="425"/>
      </w:pPr>
      <w:rPr>
        <w:rFonts w:hint="default"/>
      </w:rPr>
    </w:lvl>
  </w:abstractNum>
  <w:abstractNum w:abstractNumId="2">
    <w:nsid w:val="59560D39"/>
    <w:multiLevelType w:val="singleLevel"/>
    <w:tmpl w:val="59560D39"/>
    <w:lvl w:ilvl="0" w:tentative="0">
      <w:start w:val="1"/>
      <w:numFmt w:val="decimal"/>
      <w:lvlText w:val="%1."/>
      <w:lvlJc w:val="left"/>
      <w:pPr>
        <w:ind w:left="425" w:hanging="425"/>
      </w:pPr>
      <w:rPr>
        <w:rFonts w:hint="default"/>
      </w:rPr>
    </w:lvl>
  </w:abstractNum>
  <w:abstractNum w:abstractNumId="3">
    <w:nsid w:val="746644DE"/>
    <w:multiLevelType w:val="multilevel"/>
    <w:tmpl w:val="746644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lODk2OGZkOWM2Yzg2NTc4ZDZjZjg0MTliMTgyYjEifQ=="/>
  </w:docVars>
  <w:rsids>
    <w:rsidRoot w:val="00A860F8"/>
    <w:rsid w:val="0000120E"/>
    <w:rsid w:val="00024937"/>
    <w:rsid w:val="00041AAF"/>
    <w:rsid w:val="00062193"/>
    <w:rsid w:val="00092815"/>
    <w:rsid w:val="000D022C"/>
    <w:rsid w:val="001026E0"/>
    <w:rsid w:val="001246B3"/>
    <w:rsid w:val="00142E31"/>
    <w:rsid w:val="00146607"/>
    <w:rsid w:val="00151261"/>
    <w:rsid w:val="00156F42"/>
    <w:rsid w:val="00175E7D"/>
    <w:rsid w:val="00195385"/>
    <w:rsid w:val="0019770B"/>
    <w:rsid w:val="002172A3"/>
    <w:rsid w:val="00221976"/>
    <w:rsid w:val="00227A11"/>
    <w:rsid w:val="00255600"/>
    <w:rsid w:val="002567B7"/>
    <w:rsid w:val="002C0F6A"/>
    <w:rsid w:val="002D3A3F"/>
    <w:rsid w:val="002E6C44"/>
    <w:rsid w:val="00300A84"/>
    <w:rsid w:val="00304623"/>
    <w:rsid w:val="0035290E"/>
    <w:rsid w:val="00354312"/>
    <w:rsid w:val="003605B7"/>
    <w:rsid w:val="003947E6"/>
    <w:rsid w:val="003B3DD0"/>
    <w:rsid w:val="003D02FC"/>
    <w:rsid w:val="003F0AA0"/>
    <w:rsid w:val="0041754C"/>
    <w:rsid w:val="00446558"/>
    <w:rsid w:val="004619A4"/>
    <w:rsid w:val="0046719D"/>
    <w:rsid w:val="00483A69"/>
    <w:rsid w:val="00494A2F"/>
    <w:rsid w:val="004E1B31"/>
    <w:rsid w:val="004F451C"/>
    <w:rsid w:val="00502809"/>
    <w:rsid w:val="0054658C"/>
    <w:rsid w:val="005520D0"/>
    <w:rsid w:val="00553756"/>
    <w:rsid w:val="00590DCA"/>
    <w:rsid w:val="005D59EB"/>
    <w:rsid w:val="005D7B8B"/>
    <w:rsid w:val="005F3AE5"/>
    <w:rsid w:val="00607F63"/>
    <w:rsid w:val="00615276"/>
    <w:rsid w:val="00616311"/>
    <w:rsid w:val="006234FB"/>
    <w:rsid w:val="00643A5A"/>
    <w:rsid w:val="006631BB"/>
    <w:rsid w:val="006823BA"/>
    <w:rsid w:val="006C4A17"/>
    <w:rsid w:val="006D7CC4"/>
    <w:rsid w:val="006E057C"/>
    <w:rsid w:val="006E10FA"/>
    <w:rsid w:val="006E5D9C"/>
    <w:rsid w:val="00702C57"/>
    <w:rsid w:val="00712926"/>
    <w:rsid w:val="00717680"/>
    <w:rsid w:val="007446E3"/>
    <w:rsid w:val="0075601A"/>
    <w:rsid w:val="00776219"/>
    <w:rsid w:val="00777D9D"/>
    <w:rsid w:val="007A18D4"/>
    <w:rsid w:val="00800B27"/>
    <w:rsid w:val="00801D0A"/>
    <w:rsid w:val="0082194B"/>
    <w:rsid w:val="00852CC0"/>
    <w:rsid w:val="00864F40"/>
    <w:rsid w:val="008952EF"/>
    <w:rsid w:val="008B6ADC"/>
    <w:rsid w:val="00992ABB"/>
    <w:rsid w:val="00A02488"/>
    <w:rsid w:val="00A0490C"/>
    <w:rsid w:val="00A21212"/>
    <w:rsid w:val="00A22052"/>
    <w:rsid w:val="00A860F8"/>
    <w:rsid w:val="00AC2C6A"/>
    <w:rsid w:val="00AD4118"/>
    <w:rsid w:val="00AD7C83"/>
    <w:rsid w:val="00B36001"/>
    <w:rsid w:val="00B6315C"/>
    <w:rsid w:val="00B96E38"/>
    <w:rsid w:val="00BD7380"/>
    <w:rsid w:val="00C645B3"/>
    <w:rsid w:val="00CB7343"/>
    <w:rsid w:val="00CF3166"/>
    <w:rsid w:val="00D05581"/>
    <w:rsid w:val="00D86196"/>
    <w:rsid w:val="00DA5924"/>
    <w:rsid w:val="00DA5BD3"/>
    <w:rsid w:val="00E30B39"/>
    <w:rsid w:val="00E4591D"/>
    <w:rsid w:val="00E774FD"/>
    <w:rsid w:val="00E8482D"/>
    <w:rsid w:val="00EB623C"/>
    <w:rsid w:val="00F64C1C"/>
    <w:rsid w:val="00F67320"/>
    <w:rsid w:val="00F775E9"/>
    <w:rsid w:val="00F80250"/>
    <w:rsid w:val="00FA5A24"/>
    <w:rsid w:val="00FF7898"/>
    <w:rsid w:val="14975638"/>
    <w:rsid w:val="19E14EC4"/>
    <w:rsid w:val="32FD1B2F"/>
    <w:rsid w:val="385C2E16"/>
    <w:rsid w:val="41944549"/>
    <w:rsid w:val="4C8E7383"/>
    <w:rsid w:val="5550116B"/>
    <w:rsid w:val="561F1B74"/>
    <w:rsid w:val="5E3F3D5D"/>
    <w:rsid w:val="71A647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List Paragraph"/>
    <w:basedOn w:val="1"/>
    <w:qFormat/>
    <w:uiPriority w:val="99"/>
    <w:pPr>
      <w:ind w:firstLine="420" w:firstLineChars="200"/>
    </w:pPr>
    <w:rPr>
      <w:rFonts w:ascii="Times New Roman" w:hAnsi="Times New Roman" w:eastAsia="宋体" w:cs="Times New Roman"/>
      <w:szCs w:val="24"/>
    </w:rPr>
  </w:style>
  <w:style w:type="character" w:customStyle="1" w:styleId="10">
    <w:name w:val="标题 1 字符"/>
    <w:basedOn w:val="8"/>
    <w:link w:val="2"/>
    <w:qFormat/>
    <w:uiPriority w:val="9"/>
    <w:rPr>
      <w:b/>
      <w:bCs/>
      <w:kern w:val="44"/>
      <w:sz w:val="44"/>
      <w:szCs w:val="4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0"/>
    <w:rPr>
      <w:sz w:val="18"/>
      <w:szCs w:val="18"/>
    </w:rPr>
  </w:style>
  <w:style w:type="character" w:customStyle="1" w:styleId="13">
    <w:name w:val="批注框文本 字符"/>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C85C4-B7BE-4910-B3EA-60AE305D604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497</Words>
  <Characters>2839</Characters>
  <Lines>23</Lines>
  <Paragraphs>6</Paragraphs>
  <TotalTime>3</TotalTime>
  <ScaleCrop>false</ScaleCrop>
  <LinksUpToDate>false</LinksUpToDate>
  <CharactersWithSpaces>3330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2019-09-26T08:29:00Z</dcterms:created>
  <dc:creator>zhangjie0610</dc:creator>
  <cp:lastModifiedBy>没什么的未来</cp:lastModifiedBy>
  <cp:lastPrinted>2022-05-09T04:55:00Z</cp:lastPrinted>
  <dcterms:modified xsi:type="dcterms:W3CDTF">2023-08-25T10:03:40Z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545CE7DC607A444AB4ED5680BBC9CA2B_13</vt:lpwstr>
  </property>
</Properties>
</file>