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ind w:firstLine="5667" w:firstLineChars="2352"/>
        <w:jc w:val="left"/>
        <w:rPr>
          <w:rFonts w:ascii="宋体" w:hAnsi="宋体" w:eastAsia="宋体"/>
          <w:b/>
          <w:sz w:val="24"/>
          <w:szCs w:val="24"/>
        </w:rPr>
      </w:pPr>
    </w:p>
    <w:p>
      <w:pPr>
        <w:spacing w:line="276" w:lineRule="auto"/>
        <w:ind w:firstLine="6149" w:firstLineChars="2552"/>
        <w:jc w:val="left"/>
        <w:rPr>
          <w:rFonts w:ascii="宋体" w:hAnsi="宋体" w:eastAsia="宋体"/>
          <w:b/>
          <w:sz w:val="24"/>
          <w:szCs w:val="24"/>
          <w:u w:val="single"/>
        </w:rPr>
      </w:pPr>
      <w:r>
        <w:rPr>
          <w:rFonts w:hint="eastAsia" w:ascii="宋体" w:hAnsi="宋体" w:eastAsia="宋体"/>
          <w:b/>
          <w:sz w:val="24"/>
          <w:szCs w:val="24"/>
        </w:rPr>
        <w:t>合同编号：</w:t>
      </w:r>
      <w:r>
        <w:rPr>
          <w:rFonts w:hint="eastAsia" w:ascii="宋体" w:hAnsi="宋体" w:eastAsia="宋体"/>
          <w:b/>
          <w:sz w:val="24"/>
          <w:szCs w:val="24"/>
          <w:u w:val="single"/>
        </w:rPr>
        <w:t xml:space="preserve"> </w:t>
      </w:r>
      <w:r>
        <w:rPr>
          <w:rFonts w:ascii="宋体" w:hAnsi="宋体" w:eastAsia="宋体"/>
          <w:b/>
          <w:sz w:val="24"/>
          <w:szCs w:val="24"/>
          <w:u w:val="single"/>
        </w:rPr>
        <w:t xml:space="preserve">                 </w:t>
      </w:r>
    </w:p>
    <w:p/>
    <w:p/>
    <w:p>
      <w:pPr>
        <w:jc w:val="center"/>
        <w:rPr>
          <w:rFonts w:ascii="黑体" w:hAnsi="黑体" w:eastAsia="黑体"/>
          <w:b/>
          <w:sz w:val="52"/>
          <w:szCs w:val="52"/>
        </w:rPr>
      </w:pPr>
      <w:r>
        <w:rPr>
          <w:rFonts w:ascii="黑体" w:hAnsi="黑体" w:eastAsia="黑体"/>
          <w:b/>
          <w:sz w:val="52"/>
          <w:szCs w:val="52"/>
        </w:rPr>
        <w:t>管 理 体 系 认 证 合 同</w:t>
      </w: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27"/>
        <w:gridCol w:w="49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854" w:type="dxa"/>
            <w:gridSpan w:val="2"/>
          </w:tcPr>
          <w:p>
            <w:pPr>
              <w:spacing w:line="720" w:lineRule="auto"/>
              <w:jc w:val="left"/>
              <w:rPr>
                <w:rFonts w:ascii="黑体" w:hAnsi="黑体" w:eastAsia="黑体"/>
                <w:b/>
                <w:sz w:val="30"/>
                <w:szCs w:val="30"/>
              </w:rPr>
            </w:pPr>
            <w:r>
              <w:rPr>
                <w:rFonts w:ascii="黑体" w:hAnsi="黑体" w:eastAsia="黑体"/>
                <w:b/>
                <w:sz w:val="30"/>
                <w:szCs w:val="30"/>
              </w:rPr>
              <w:t>甲</w:t>
            </w:r>
            <w:r>
              <w:rPr>
                <w:rFonts w:hint="eastAsia" w:ascii="黑体" w:hAnsi="黑体" w:eastAsia="黑体"/>
                <w:b/>
                <w:sz w:val="30"/>
                <w:szCs w:val="30"/>
              </w:rPr>
              <w:t xml:space="preserve"> </w:t>
            </w:r>
            <w:r>
              <w:rPr>
                <w:rFonts w:ascii="黑体" w:hAnsi="黑体" w:eastAsia="黑体"/>
                <w:b/>
                <w:sz w:val="30"/>
                <w:szCs w:val="30"/>
              </w:rPr>
              <w:t xml:space="preserve">   方：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854" w:type="dxa"/>
            <w:gridSpan w:val="2"/>
          </w:tcPr>
          <w:p>
            <w:pPr>
              <w:spacing w:line="720" w:lineRule="auto"/>
              <w:jc w:val="left"/>
              <w:rPr>
                <w:rFonts w:ascii="黑体" w:hAnsi="黑体" w:eastAsia="黑体"/>
                <w:b/>
                <w:sz w:val="30"/>
                <w:szCs w:val="30"/>
              </w:rPr>
            </w:pPr>
            <w:r>
              <w:rPr>
                <w:rFonts w:hint="eastAsia" w:ascii="黑体" w:hAnsi="黑体" w:eastAsia="黑体"/>
                <w:b/>
                <w:sz w:val="30"/>
                <w:szCs w:val="30"/>
              </w:rPr>
              <w:t>联 系 人：</w:t>
            </w:r>
            <w:r>
              <w:rPr>
                <w:rFonts w:ascii="黑体" w:hAnsi="黑体" w:eastAsia="黑体"/>
                <w:b/>
                <w:sz w:val="30"/>
                <w:szCs w:val="30"/>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pPr>
              <w:spacing w:line="720" w:lineRule="auto"/>
              <w:jc w:val="left"/>
              <w:rPr>
                <w:rFonts w:ascii="黑体" w:hAnsi="黑体" w:eastAsia="黑体"/>
                <w:b/>
                <w:sz w:val="30"/>
                <w:szCs w:val="30"/>
              </w:rPr>
            </w:pPr>
            <w:r>
              <w:rPr>
                <w:rFonts w:hint="eastAsia" w:ascii="黑体" w:hAnsi="黑体" w:eastAsia="黑体"/>
                <w:b/>
                <w:sz w:val="30"/>
                <w:szCs w:val="30"/>
              </w:rPr>
              <w:t xml:space="preserve">电 </w:t>
            </w:r>
            <w:r>
              <w:rPr>
                <w:rFonts w:ascii="黑体" w:hAnsi="黑体" w:eastAsia="黑体"/>
                <w:b/>
                <w:sz w:val="30"/>
                <w:szCs w:val="30"/>
              </w:rPr>
              <w:t xml:space="preserve">   </w:t>
            </w:r>
            <w:r>
              <w:rPr>
                <w:rFonts w:hint="eastAsia" w:ascii="黑体" w:hAnsi="黑体" w:eastAsia="黑体"/>
                <w:b/>
                <w:sz w:val="30"/>
                <w:szCs w:val="30"/>
              </w:rPr>
              <w:t>话：</w:t>
            </w:r>
          </w:p>
        </w:tc>
        <w:tc>
          <w:tcPr>
            <w:tcW w:w="4927" w:type="dxa"/>
          </w:tcPr>
          <w:p>
            <w:pPr>
              <w:spacing w:line="720" w:lineRule="auto"/>
              <w:jc w:val="left"/>
              <w:rPr>
                <w:rFonts w:ascii="黑体" w:hAnsi="黑体" w:eastAsia="黑体"/>
                <w:b/>
                <w:sz w:val="30"/>
                <w:szCs w:val="30"/>
              </w:rPr>
            </w:pPr>
            <w:r>
              <w:rPr>
                <w:rFonts w:hint="eastAsia" w:ascii="黑体" w:hAnsi="黑体" w:eastAsia="黑体"/>
                <w:b/>
                <w:sz w:val="30"/>
                <w:szCs w:val="30"/>
              </w:rPr>
              <w:t>微信号：</w:t>
            </w:r>
          </w:p>
        </w:tc>
      </w:tr>
    </w:tbl>
    <w:p>
      <w:pPr>
        <w:spacing w:line="720" w:lineRule="auto"/>
        <w:jc w:val="left"/>
        <w:rPr>
          <w:rFonts w:ascii="黑体" w:hAnsi="黑体" w:eastAsia="黑体"/>
          <w:b/>
          <w:sz w:val="30"/>
          <w:szCs w:val="30"/>
        </w:rPr>
      </w:pPr>
    </w:p>
    <w:p>
      <w:pPr>
        <w:spacing w:line="720" w:lineRule="auto"/>
        <w:jc w:val="left"/>
        <w:rPr>
          <w:rFonts w:ascii="黑体" w:hAnsi="黑体" w:eastAsia="黑体"/>
          <w:b/>
          <w:sz w:val="30"/>
          <w:szCs w:val="30"/>
        </w:rPr>
      </w:pPr>
    </w:p>
    <w:p>
      <w:pPr>
        <w:spacing w:line="720" w:lineRule="auto"/>
        <w:jc w:val="left"/>
        <w:rPr>
          <w:rFonts w:ascii="黑体" w:hAnsi="黑体" w:eastAsia="黑体"/>
          <w:b/>
          <w:sz w:val="30"/>
          <w:szCs w:val="30"/>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8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854" w:type="dxa"/>
          </w:tcPr>
          <w:p>
            <w:pPr>
              <w:spacing w:line="720" w:lineRule="auto"/>
              <w:jc w:val="left"/>
              <w:rPr>
                <w:rFonts w:ascii="黑体" w:hAnsi="黑体" w:eastAsia="黑体"/>
                <w:b/>
                <w:sz w:val="30"/>
                <w:szCs w:val="30"/>
              </w:rPr>
            </w:pPr>
            <w:r>
              <w:rPr>
                <w:rFonts w:ascii="黑体" w:hAnsi="黑体" w:eastAsia="黑体"/>
                <w:b/>
                <w:sz w:val="30"/>
                <w:szCs w:val="30"/>
              </w:rPr>
              <w:t>乙</w:t>
            </w:r>
            <w:r>
              <w:rPr>
                <w:rFonts w:hint="eastAsia" w:ascii="黑体" w:hAnsi="黑体" w:eastAsia="黑体"/>
                <w:b/>
                <w:sz w:val="30"/>
                <w:szCs w:val="30"/>
              </w:rPr>
              <w:t xml:space="preserve"> </w:t>
            </w:r>
            <w:r>
              <w:rPr>
                <w:rFonts w:ascii="黑体" w:hAnsi="黑体" w:eastAsia="黑体"/>
                <w:b/>
                <w:sz w:val="30"/>
                <w:szCs w:val="30"/>
              </w:rPr>
              <w:t xml:space="preserve"> 方：</w:t>
            </w:r>
            <w:r>
              <w:rPr>
                <w:rFonts w:hint="eastAsia" w:ascii="宋体" w:hAnsi="宋体" w:eastAsia="宋体"/>
                <w:sz w:val="30"/>
                <w:szCs w:val="30"/>
              </w:rPr>
              <w:t>北京中鼎乾元认证有限公司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854" w:type="dxa"/>
          </w:tcPr>
          <w:p>
            <w:pPr>
              <w:spacing w:line="720" w:lineRule="auto"/>
              <w:jc w:val="left"/>
              <w:rPr>
                <w:rFonts w:ascii="黑体" w:hAnsi="黑体" w:eastAsia="黑体"/>
                <w:b/>
                <w:sz w:val="30"/>
                <w:szCs w:val="30"/>
              </w:rPr>
            </w:pPr>
            <w:r>
              <w:rPr>
                <w:rFonts w:ascii="黑体" w:hAnsi="黑体" w:eastAsia="黑体"/>
                <w:b/>
                <w:sz w:val="30"/>
                <w:szCs w:val="30"/>
              </w:rPr>
              <w:t>地  址：</w:t>
            </w:r>
            <w:bookmarkStart w:id="0" w:name="_Hlk102989405"/>
            <w:r>
              <w:rPr>
                <w:rFonts w:hint="eastAsia" w:ascii="宋体" w:hAnsi="宋体" w:eastAsia="宋体"/>
                <w:sz w:val="30"/>
                <w:szCs w:val="30"/>
              </w:rPr>
              <w:t>北京市朝阳区东四环中路78号楼7层8B03</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854" w:type="dxa"/>
          </w:tcPr>
          <w:p>
            <w:pPr>
              <w:spacing w:line="720" w:lineRule="auto"/>
              <w:jc w:val="left"/>
              <w:rPr>
                <w:rFonts w:ascii="黑体" w:hAnsi="黑体" w:eastAsia="黑体"/>
                <w:b/>
                <w:sz w:val="30"/>
                <w:szCs w:val="30"/>
              </w:rPr>
            </w:pPr>
            <w:r>
              <w:rPr>
                <w:rFonts w:hint="eastAsia" w:ascii="黑体" w:hAnsi="黑体" w:eastAsia="黑体"/>
                <w:b/>
                <w:sz w:val="30"/>
                <w:szCs w:val="30"/>
              </w:rPr>
              <w:t>开户行</w:t>
            </w:r>
            <w:r>
              <w:rPr>
                <w:rFonts w:ascii="黑体" w:hAnsi="黑体" w:eastAsia="黑体"/>
                <w:b/>
                <w:sz w:val="30"/>
                <w:szCs w:val="30"/>
              </w:rPr>
              <w:t xml:space="preserve">: </w:t>
            </w:r>
            <w:r>
              <w:rPr>
                <w:rFonts w:ascii="宋体" w:hAnsi="宋体" w:eastAsia="宋体"/>
                <w:sz w:val="30"/>
                <w:szCs w:val="30"/>
              </w:rPr>
              <w:t xml:space="preserve">招商银行股份有限公司北京建国路支行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854" w:type="dxa"/>
          </w:tcPr>
          <w:p>
            <w:pPr>
              <w:spacing w:line="720" w:lineRule="auto"/>
              <w:jc w:val="left"/>
              <w:rPr>
                <w:rFonts w:ascii="黑体" w:hAnsi="黑体" w:eastAsia="黑体"/>
                <w:b/>
                <w:sz w:val="30"/>
                <w:szCs w:val="30"/>
              </w:rPr>
            </w:pPr>
            <w:r>
              <w:rPr>
                <w:rFonts w:hint="eastAsia" w:ascii="黑体" w:hAnsi="黑体" w:eastAsia="黑体"/>
                <w:b/>
                <w:sz w:val="30"/>
                <w:szCs w:val="30"/>
              </w:rPr>
              <w:t xml:space="preserve">账 </w:t>
            </w:r>
            <w:r>
              <w:rPr>
                <w:rFonts w:ascii="黑体" w:hAnsi="黑体" w:eastAsia="黑体"/>
                <w:b/>
                <w:sz w:val="30"/>
                <w:szCs w:val="30"/>
              </w:rPr>
              <w:t xml:space="preserve"> </w:t>
            </w:r>
            <w:r>
              <w:rPr>
                <w:rFonts w:hint="eastAsia" w:ascii="黑体" w:hAnsi="黑体" w:eastAsia="黑体"/>
                <w:b/>
                <w:sz w:val="30"/>
                <w:szCs w:val="30"/>
              </w:rPr>
              <w:t>号</w:t>
            </w:r>
            <w:r>
              <w:rPr>
                <w:rFonts w:ascii="黑体" w:hAnsi="黑体" w:eastAsia="黑体"/>
                <w:b/>
                <w:sz w:val="30"/>
                <w:szCs w:val="30"/>
              </w:rPr>
              <w:t xml:space="preserve">: </w:t>
            </w:r>
            <w:r>
              <w:rPr>
                <w:rFonts w:ascii="宋体" w:hAnsi="宋体" w:eastAsia="宋体"/>
                <w:sz w:val="30"/>
                <w:szCs w:val="30"/>
              </w:rPr>
              <w:t>110935778910101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854" w:type="dxa"/>
          </w:tcPr>
          <w:p>
            <w:pPr>
              <w:spacing w:line="720" w:lineRule="auto"/>
              <w:jc w:val="left"/>
              <w:rPr>
                <w:rFonts w:ascii="黑体" w:hAnsi="黑体" w:eastAsia="黑体"/>
                <w:b/>
                <w:sz w:val="30"/>
                <w:szCs w:val="30"/>
              </w:rPr>
            </w:pPr>
            <w:r>
              <w:rPr>
                <w:rFonts w:ascii="黑体" w:hAnsi="黑体" w:eastAsia="黑体"/>
                <w:b/>
                <w:sz w:val="30"/>
                <w:szCs w:val="30"/>
              </w:rPr>
              <w:drawing>
                <wp:anchor distT="0" distB="0" distL="114300" distR="114300" simplePos="0" relativeHeight="251659264" behindDoc="0" locked="0" layoutInCell="1" allowOverlap="1">
                  <wp:simplePos x="0" y="0"/>
                  <wp:positionH relativeFrom="column">
                    <wp:posOffset>2663190</wp:posOffset>
                  </wp:positionH>
                  <wp:positionV relativeFrom="paragraph">
                    <wp:posOffset>517525</wp:posOffset>
                  </wp:positionV>
                  <wp:extent cx="800100" cy="800100"/>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00100" cy="800100"/>
                          </a:xfrm>
                          <a:prstGeom prst="rect">
                            <a:avLst/>
                          </a:prstGeom>
                        </pic:spPr>
                      </pic:pic>
                    </a:graphicData>
                  </a:graphic>
                </wp:anchor>
              </w:drawing>
            </w:r>
            <w:r>
              <w:rPr>
                <w:rFonts w:ascii="黑体" w:hAnsi="黑体" w:eastAsia="黑体"/>
                <w:b/>
                <w:sz w:val="30"/>
                <w:szCs w:val="30"/>
              </w:rPr>
              <w:t xml:space="preserve">电  话： </w:t>
            </w:r>
            <w:r>
              <w:rPr>
                <w:rFonts w:hint="eastAsia" w:ascii="宋体" w:hAnsi="宋体" w:eastAsia="宋体"/>
                <w:sz w:val="30"/>
                <w:szCs w:val="30"/>
              </w:rPr>
              <w:t>010-</w:t>
            </w:r>
            <w:r>
              <w:rPr>
                <w:rFonts w:ascii="宋体" w:hAnsi="宋体" w:eastAsia="宋体"/>
                <w:sz w:val="30"/>
                <w:szCs w:val="30"/>
              </w:rPr>
              <w:t>53381281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854" w:type="dxa"/>
          </w:tcPr>
          <w:p>
            <w:pPr>
              <w:spacing w:line="720" w:lineRule="auto"/>
              <w:jc w:val="left"/>
              <w:rPr>
                <w:rFonts w:ascii="黑体" w:hAnsi="黑体" w:eastAsia="黑体"/>
                <w:b/>
                <w:sz w:val="30"/>
                <w:szCs w:val="30"/>
              </w:rPr>
            </w:pPr>
            <w:r>
              <w:rPr>
                <w:rFonts w:hint="eastAsia" w:ascii="黑体" w:hAnsi="黑体" w:eastAsia="黑体"/>
                <w:b/>
                <w:sz w:val="30"/>
                <w:szCs w:val="30"/>
                <w:lang w:val="en-US" w:eastAsia="zh-CN"/>
              </w:rPr>
              <w:t>微信</w:t>
            </w:r>
            <w:r>
              <w:rPr>
                <w:rFonts w:hint="eastAsia" w:ascii="黑体" w:hAnsi="黑体" w:eastAsia="黑体"/>
                <w:b/>
                <w:sz w:val="30"/>
                <w:szCs w:val="30"/>
              </w:rPr>
              <w:t>公众号</w:t>
            </w:r>
            <w:r>
              <w:rPr>
                <w:rFonts w:hint="eastAsia" w:ascii="黑体" w:hAnsi="黑体" w:eastAsia="黑体"/>
                <w:b/>
                <w:sz w:val="30"/>
                <w:szCs w:val="30"/>
                <w:lang w:eastAsia="zh-CN"/>
              </w:rPr>
              <w:t>（</w:t>
            </w:r>
            <w:r>
              <w:rPr>
                <w:rFonts w:hint="eastAsia" w:ascii="黑体" w:hAnsi="黑体" w:eastAsia="黑体"/>
                <w:b/>
                <w:sz w:val="30"/>
                <w:szCs w:val="30"/>
                <w:lang w:val="en-US" w:eastAsia="zh-CN"/>
              </w:rPr>
              <w:t>扫码关注</w:t>
            </w:r>
            <w:r>
              <w:rPr>
                <w:rFonts w:hint="eastAsia" w:ascii="黑体" w:hAnsi="黑体" w:eastAsia="黑体"/>
                <w:b/>
                <w:sz w:val="30"/>
                <w:szCs w:val="30"/>
                <w:lang w:eastAsia="zh-CN"/>
              </w:rPr>
              <w:t>）</w:t>
            </w:r>
            <w:r>
              <w:rPr>
                <w:rFonts w:ascii="黑体" w:hAnsi="黑体" w:eastAsia="黑体"/>
                <w:b/>
                <w:sz w:val="30"/>
                <w:szCs w:val="30"/>
              </w:rPr>
              <w:t>：</w:t>
            </w:r>
          </w:p>
        </w:tc>
      </w:tr>
    </w:tbl>
    <w:p>
      <w:pPr>
        <w:spacing w:line="720" w:lineRule="auto"/>
        <w:jc w:val="left"/>
        <w:rPr>
          <w:rFonts w:ascii="黑体" w:hAnsi="黑体" w:eastAsia="黑体"/>
          <w:b/>
          <w:sz w:val="30"/>
          <w:szCs w:val="30"/>
        </w:rPr>
      </w:pPr>
    </w:p>
    <w:p>
      <w:pPr>
        <w:tabs>
          <w:tab w:val="left" w:pos="1038"/>
        </w:tabs>
        <w:rPr>
          <w:rFonts w:ascii="宋体" w:hAnsi="宋体" w:eastAsia="宋体"/>
          <w:sz w:val="24"/>
          <w:szCs w:val="24"/>
        </w:rPr>
      </w:pPr>
      <w:r>
        <w:rPr>
          <w:rFonts w:ascii="宋体" w:hAnsi="宋体" w:eastAsia="宋体"/>
          <w:sz w:val="24"/>
          <w:szCs w:val="24"/>
        </w:rPr>
        <w:tab/>
      </w:r>
    </w:p>
    <w:p>
      <w:pPr>
        <w:spacing w:line="360" w:lineRule="auto"/>
        <w:jc w:val="left"/>
        <w:rPr>
          <w:rFonts w:ascii="宋体" w:hAnsi="宋体" w:eastAsia="宋体"/>
          <w:sz w:val="24"/>
          <w:szCs w:val="24"/>
        </w:rPr>
      </w:pPr>
      <w:r>
        <w:rPr>
          <w:rFonts w:hint="eastAsia" w:ascii="宋体" w:hAnsi="宋体" w:eastAsia="宋体"/>
          <w:sz w:val="24"/>
          <w:szCs w:val="24"/>
        </w:rPr>
        <w:t>第一条 认证所依据的管理体系标准及认证证书类型：</w:t>
      </w:r>
    </w:p>
    <w:tbl>
      <w:tblPr>
        <w:tblStyle w:val="11"/>
        <w:tblW w:w="10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0"/>
        <w:gridCol w:w="4395"/>
        <w:gridCol w:w="1984"/>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0" w:type="dxa"/>
            <w:vAlign w:val="center"/>
          </w:tcPr>
          <w:p>
            <w:pPr>
              <w:spacing w:line="360" w:lineRule="auto"/>
              <w:jc w:val="center"/>
              <w:rPr>
                <w:rFonts w:ascii="宋体" w:hAnsi="宋体" w:eastAsia="宋体"/>
                <w:szCs w:val="21"/>
              </w:rPr>
            </w:pPr>
            <w:r>
              <w:rPr>
                <w:rFonts w:hint="eastAsia" w:ascii="宋体" w:hAnsi="宋体" w:eastAsia="宋体"/>
                <w:szCs w:val="21"/>
              </w:rPr>
              <w:t>认证领域</w:t>
            </w:r>
          </w:p>
        </w:tc>
        <w:tc>
          <w:tcPr>
            <w:tcW w:w="4395" w:type="dxa"/>
            <w:vAlign w:val="center"/>
          </w:tcPr>
          <w:p>
            <w:pPr>
              <w:spacing w:line="360" w:lineRule="auto"/>
              <w:jc w:val="center"/>
              <w:rPr>
                <w:rFonts w:ascii="宋体" w:hAnsi="宋体" w:eastAsia="宋体"/>
                <w:szCs w:val="21"/>
              </w:rPr>
            </w:pPr>
            <w:r>
              <w:rPr>
                <w:rFonts w:hint="eastAsia" w:ascii="宋体" w:hAnsi="宋体" w:eastAsia="宋体"/>
                <w:szCs w:val="21"/>
              </w:rPr>
              <w:t>依据标准</w:t>
            </w:r>
          </w:p>
        </w:tc>
        <w:tc>
          <w:tcPr>
            <w:tcW w:w="1984" w:type="dxa"/>
            <w:vAlign w:val="center"/>
          </w:tcPr>
          <w:p>
            <w:pPr>
              <w:spacing w:line="360" w:lineRule="auto"/>
              <w:jc w:val="center"/>
              <w:rPr>
                <w:rFonts w:ascii="宋体" w:hAnsi="宋体" w:eastAsia="宋体"/>
                <w:szCs w:val="21"/>
              </w:rPr>
            </w:pPr>
            <w:r>
              <w:rPr>
                <w:rFonts w:hint="eastAsia" w:ascii="宋体" w:hAnsi="宋体" w:eastAsia="宋体"/>
                <w:szCs w:val="21"/>
              </w:rPr>
              <w:t>认证</w:t>
            </w:r>
            <w:r>
              <w:rPr>
                <w:rFonts w:ascii="宋体" w:hAnsi="宋体" w:eastAsia="宋体"/>
                <w:szCs w:val="21"/>
              </w:rPr>
              <w:t>类型</w:t>
            </w:r>
          </w:p>
        </w:tc>
        <w:tc>
          <w:tcPr>
            <w:tcW w:w="1559" w:type="dxa"/>
          </w:tcPr>
          <w:p>
            <w:pPr>
              <w:spacing w:line="360" w:lineRule="auto"/>
              <w:jc w:val="center"/>
              <w:rPr>
                <w:rFonts w:ascii="宋体" w:hAnsi="宋体" w:eastAsia="宋体"/>
                <w:szCs w:val="21"/>
              </w:rPr>
            </w:pPr>
            <w:r>
              <w:rPr>
                <w:rFonts w:ascii="宋体" w:hAnsi="宋体" w:eastAsia="宋体"/>
                <w:szCs w:val="21"/>
              </w:rPr>
              <w:t>体系覆盖人数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8" w:hRule="atLeast"/>
          <w:jc w:val="center"/>
        </w:trPr>
        <w:tc>
          <w:tcPr>
            <w:tcW w:w="2830" w:type="dxa"/>
            <w:vAlign w:val="center"/>
          </w:tcPr>
          <w:p>
            <w:pPr>
              <w:spacing w:line="360" w:lineRule="auto"/>
              <w:jc w:val="left"/>
              <w:rPr>
                <w:rFonts w:ascii="宋体" w:hAnsi="宋体" w:eastAsia="宋体"/>
                <w:szCs w:val="21"/>
              </w:rPr>
            </w:pPr>
            <w:r>
              <w:rPr>
                <w:rFonts w:hint="eastAsia" w:ascii="宋体" w:hAnsi="宋体" w:eastAsia="宋体"/>
                <w:szCs w:val="21"/>
              </w:rPr>
              <w:t>质量管理体系Q</w:t>
            </w:r>
            <w:r>
              <w:rPr>
                <w:rFonts w:ascii="宋体" w:hAnsi="宋体" w:eastAsia="宋体"/>
                <w:szCs w:val="21"/>
              </w:rPr>
              <w:t>MS</w:t>
            </w:r>
          </w:p>
        </w:tc>
        <w:tc>
          <w:tcPr>
            <w:tcW w:w="4395" w:type="dxa"/>
            <w:vAlign w:val="center"/>
          </w:tcPr>
          <w:p>
            <w:pPr>
              <w:spacing w:line="360" w:lineRule="auto"/>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GB/T19001-2016 (</w:t>
            </w:r>
            <w:r>
              <w:rPr>
                <w:rFonts w:hint="eastAsia" w:ascii="宋体" w:hAnsi="宋体" w:eastAsia="宋体"/>
                <w:szCs w:val="21"/>
              </w:rPr>
              <w:t>ISO9001：</w:t>
            </w:r>
            <w:r>
              <w:rPr>
                <w:rFonts w:ascii="宋体" w:hAnsi="宋体" w:eastAsia="宋体"/>
                <w:szCs w:val="21"/>
              </w:rPr>
              <w:t>2015)</w:t>
            </w:r>
          </w:p>
          <w:p>
            <w:pPr>
              <w:spacing w:line="360" w:lineRule="auto"/>
              <w:rPr>
                <w:rFonts w:ascii="宋体" w:hAnsi="宋体" w:eastAsia="宋体"/>
                <w:szCs w:val="21"/>
              </w:rPr>
            </w:pPr>
            <w:r>
              <w:rPr>
                <w:rFonts w:hint="eastAsia" w:ascii="宋体" w:hAnsi="宋体" w:eastAsia="宋体"/>
                <w:szCs w:val="21"/>
              </w:rPr>
              <w:t>□ GB/T50430-</w:t>
            </w:r>
            <w:r>
              <w:rPr>
                <w:rFonts w:ascii="宋体" w:hAnsi="宋体" w:eastAsia="宋体"/>
                <w:szCs w:val="21"/>
              </w:rPr>
              <w:t>2017</w:t>
            </w:r>
          </w:p>
          <w:p>
            <w:pPr>
              <w:spacing w:line="360" w:lineRule="auto"/>
              <w:rPr>
                <w:rFonts w:ascii="宋体" w:hAnsi="宋体" w:eastAsia="宋体"/>
                <w:szCs w:val="21"/>
              </w:rPr>
            </w:pPr>
            <w:r>
              <w:rPr>
                <w:rFonts w:hint="eastAsia" w:ascii="宋体" w:hAnsi="宋体" w:eastAsia="宋体"/>
                <w:szCs w:val="21"/>
              </w:rPr>
              <w:t>□</w:t>
            </w:r>
            <w:r>
              <w:rPr>
                <w:rFonts w:hint="eastAsia" w:ascii="宋体" w:hAnsi="宋体"/>
                <w:szCs w:val="21"/>
              </w:rPr>
              <w:t xml:space="preserve"> </w:t>
            </w:r>
            <w:r>
              <w:rPr>
                <w:rFonts w:ascii="宋体" w:hAnsi="宋体"/>
                <w:szCs w:val="21"/>
              </w:rPr>
              <w:t>GJB9001C</w:t>
            </w:r>
            <w:r>
              <w:rPr>
                <w:rFonts w:hint="eastAsia" w:ascii="宋体" w:hAnsi="宋体"/>
                <w:szCs w:val="21"/>
              </w:rPr>
              <w:t>-</w:t>
            </w:r>
            <w:r>
              <w:rPr>
                <w:rFonts w:ascii="宋体" w:hAnsi="宋体"/>
                <w:szCs w:val="21"/>
              </w:rPr>
              <w:t>2017</w:t>
            </w:r>
          </w:p>
        </w:tc>
        <w:tc>
          <w:tcPr>
            <w:tcW w:w="1984" w:type="dxa"/>
            <w:vAlign w:val="center"/>
          </w:tcPr>
          <w:p>
            <w:pPr>
              <w:spacing w:line="0" w:lineRule="atLeast"/>
              <w:jc w:val="left"/>
              <w:rPr>
                <w:rFonts w:hint="eastAsia" w:ascii="宋体" w:hAnsi="宋体" w:eastAsia="宋体" w:cstheme="minorBidi"/>
                <w:szCs w:val="21"/>
              </w:rPr>
            </w:pPr>
            <w:r>
              <w:rPr>
                <w:rFonts w:hint="eastAsia" w:ascii="宋体" w:hAnsi="宋体" w:eastAsia="宋体" w:cstheme="minorBidi"/>
                <w:szCs w:val="21"/>
              </w:rPr>
              <w:t>□初次认证         □再认证</w:t>
            </w:r>
          </w:p>
        </w:tc>
        <w:tc>
          <w:tcPr>
            <w:tcW w:w="1559" w:type="dxa"/>
            <w:vAlign w:val="center"/>
          </w:tcPr>
          <w:p>
            <w:pPr>
              <w:spacing w:line="360" w:lineRule="auto"/>
              <w:jc w:val="left"/>
              <w:rPr>
                <w:rFonts w:ascii="宋体" w:hAnsi="宋体" w:eastAsia="宋体"/>
                <w:szCs w:val="21"/>
              </w:rPr>
            </w:pP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jc w:val="center"/>
        </w:trPr>
        <w:tc>
          <w:tcPr>
            <w:tcW w:w="2830" w:type="dxa"/>
            <w:vAlign w:val="center"/>
          </w:tcPr>
          <w:p>
            <w:pPr>
              <w:spacing w:line="360" w:lineRule="auto"/>
              <w:jc w:val="left"/>
              <w:rPr>
                <w:rFonts w:ascii="宋体" w:hAnsi="宋体" w:eastAsia="宋体"/>
                <w:szCs w:val="21"/>
              </w:rPr>
            </w:pPr>
            <w:r>
              <w:rPr>
                <w:rFonts w:hint="eastAsia" w:ascii="宋体" w:hAnsi="宋体" w:eastAsia="宋体"/>
                <w:szCs w:val="21"/>
              </w:rPr>
              <w:t>环境管理体系E</w:t>
            </w:r>
            <w:r>
              <w:rPr>
                <w:rFonts w:ascii="宋体" w:hAnsi="宋体" w:eastAsia="宋体"/>
                <w:szCs w:val="21"/>
              </w:rPr>
              <w:t>MS</w:t>
            </w:r>
          </w:p>
        </w:tc>
        <w:tc>
          <w:tcPr>
            <w:tcW w:w="4395" w:type="dxa"/>
            <w:vAlign w:val="center"/>
          </w:tcPr>
          <w:p>
            <w:pPr>
              <w:spacing w:line="360" w:lineRule="auto"/>
              <w:jc w:val="left"/>
              <w:rPr>
                <w:rFonts w:ascii="宋体" w:hAnsi="宋体" w:eastAsia="宋体"/>
                <w:szCs w:val="21"/>
              </w:rPr>
            </w:pPr>
            <w:r>
              <w:rPr>
                <w:rFonts w:hint="eastAsia" w:ascii="宋体" w:hAnsi="宋体" w:eastAsia="宋体"/>
                <w:szCs w:val="21"/>
              </w:rPr>
              <w:t>□ GB/T24001-2016</w:t>
            </w:r>
            <w:r>
              <w:rPr>
                <w:rFonts w:ascii="宋体" w:hAnsi="宋体" w:eastAsia="宋体"/>
                <w:szCs w:val="21"/>
              </w:rPr>
              <w:t xml:space="preserve"> (</w:t>
            </w:r>
            <w:r>
              <w:rPr>
                <w:rFonts w:hint="eastAsia" w:ascii="宋体" w:hAnsi="宋体" w:eastAsia="宋体"/>
                <w:szCs w:val="21"/>
              </w:rPr>
              <w:t>ISO</w:t>
            </w:r>
            <w:r>
              <w:rPr>
                <w:rFonts w:ascii="宋体" w:hAnsi="宋体" w:eastAsia="宋体"/>
                <w:szCs w:val="21"/>
              </w:rPr>
              <w:t>14</w:t>
            </w:r>
            <w:r>
              <w:rPr>
                <w:rFonts w:hint="eastAsia" w:ascii="宋体" w:hAnsi="宋体" w:eastAsia="宋体"/>
                <w:szCs w:val="21"/>
              </w:rPr>
              <w:t>001：</w:t>
            </w:r>
            <w:r>
              <w:rPr>
                <w:rFonts w:ascii="宋体" w:hAnsi="宋体" w:eastAsia="宋体"/>
                <w:szCs w:val="21"/>
              </w:rPr>
              <w:t>2015)</w:t>
            </w:r>
          </w:p>
        </w:tc>
        <w:tc>
          <w:tcPr>
            <w:tcW w:w="1984" w:type="dxa"/>
            <w:vAlign w:val="center"/>
          </w:tcPr>
          <w:p>
            <w:pPr>
              <w:spacing w:line="0" w:lineRule="atLeast"/>
              <w:jc w:val="left"/>
              <w:rPr>
                <w:rFonts w:hint="eastAsia" w:ascii="宋体" w:hAnsi="宋体" w:eastAsia="宋体" w:cstheme="minorBidi"/>
                <w:szCs w:val="21"/>
              </w:rPr>
            </w:pPr>
            <w:r>
              <w:rPr>
                <w:rFonts w:hint="eastAsia" w:ascii="宋体" w:hAnsi="宋体" w:eastAsia="宋体" w:cstheme="minorBidi"/>
                <w:szCs w:val="21"/>
              </w:rPr>
              <w:t>□初次认证         □再认证</w:t>
            </w:r>
          </w:p>
        </w:tc>
        <w:tc>
          <w:tcPr>
            <w:tcW w:w="1559" w:type="dxa"/>
            <w:vAlign w:val="center"/>
          </w:tcPr>
          <w:p>
            <w:pPr>
              <w:spacing w:line="360" w:lineRule="auto"/>
              <w:jc w:val="left"/>
              <w:rPr>
                <w:rFonts w:ascii="宋体" w:hAnsi="宋体" w:eastAsia="宋体"/>
                <w:szCs w:val="21"/>
              </w:rPr>
            </w:pP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exact"/>
          <w:jc w:val="center"/>
        </w:trPr>
        <w:tc>
          <w:tcPr>
            <w:tcW w:w="2830" w:type="dxa"/>
            <w:vAlign w:val="center"/>
          </w:tcPr>
          <w:p>
            <w:pPr>
              <w:spacing w:line="360" w:lineRule="auto"/>
              <w:jc w:val="left"/>
              <w:rPr>
                <w:rFonts w:ascii="宋体" w:hAnsi="宋体" w:eastAsia="宋体"/>
                <w:szCs w:val="21"/>
              </w:rPr>
            </w:pPr>
            <w:r>
              <w:rPr>
                <w:rFonts w:hint="eastAsia" w:ascii="宋体" w:hAnsi="宋体" w:eastAsia="宋体"/>
                <w:szCs w:val="21"/>
              </w:rPr>
              <w:t>职业健康安全管理体系O</w:t>
            </w:r>
            <w:r>
              <w:rPr>
                <w:rFonts w:ascii="宋体" w:hAnsi="宋体" w:eastAsia="宋体"/>
                <w:szCs w:val="21"/>
              </w:rPr>
              <w:t>HSMS</w:t>
            </w:r>
          </w:p>
        </w:tc>
        <w:tc>
          <w:tcPr>
            <w:tcW w:w="4395" w:type="dxa"/>
            <w:vAlign w:val="center"/>
          </w:tcPr>
          <w:p>
            <w:pPr>
              <w:spacing w:line="360" w:lineRule="auto"/>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GB/T45001-2020 (</w:t>
            </w:r>
            <w:r>
              <w:rPr>
                <w:rFonts w:hint="eastAsia" w:ascii="宋体" w:hAnsi="宋体" w:eastAsia="宋体"/>
                <w:szCs w:val="21"/>
              </w:rPr>
              <w:t>ISO</w:t>
            </w:r>
            <w:r>
              <w:rPr>
                <w:rFonts w:ascii="宋体" w:hAnsi="宋体" w:eastAsia="宋体"/>
                <w:szCs w:val="21"/>
              </w:rPr>
              <w:t>45</w:t>
            </w:r>
            <w:r>
              <w:rPr>
                <w:rFonts w:hint="eastAsia" w:ascii="宋体" w:hAnsi="宋体" w:eastAsia="宋体"/>
                <w:szCs w:val="21"/>
              </w:rPr>
              <w:t>001：</w:t>
            </w:r>
            <w:r>
              <w:rPr>
                <w:rFonts w:ascii="宋体" w:hAnsi="宋体" w:eastAsia="宋体"/>
                <w:szCs w:val="21"/>
              </w:rPr>
              <w:t>2018)</w:t>
            </w:r>
          </w:p>
        </w:tc>
        <w:tc>
          <w:tcPr>
            <w:tcW w:w="1984" w:type="dxa"/>
            <w:vAlign w:val="center"/>
          </w:tcPr>
          <w:p>
            <w:pPr>
              <w:spacing w:line="0" w:lineRule="atLeast"/>
              <w:jc w:val="left"/>
              <w:rPr>
                <w:rFonts w:hint="eastAsia" w:ascii="宋体" w:hAnsi="宋体" w:eastAsia="宋体" w:cstheme="minorBidi"/>
                <w:szCs w:val="21"/>
              </w:rPr>
            </w:pPr>
            <w:r>
              <w:rPr>
                <w:rFonts w:hint="eastAsia" w:ascii="宋体" w:hAnsi="宋体" w:eastAsia="宋体" w:cstheme="minorBidi"/>
                <w:szCs w:val="21"/>
              </w:rPr>
              <w:t>□初次认证                        □再认证</w:t>
            </w:r>
          </w:p>
        </w:tc>
        <w:tc>
          <w:tcPr>
            <w:tcW w:w="1559" w:type="dxa"/>
            <w:vAlign w:val="center"/>
          </w:tcPr>
          <w:p>
            <w:pPr>
              <w:spacing w:line="360" w:lineRule="auto"/>
              <w:jc w:val="left"/>
              <w:rPr>
                <w:rFonts w:ascii="宋体" w:hAnsi="宋体" w:eastAsia="宋体"/>
                <w:szCs w:val="21"/>
              </w:rPr>
            </w:pP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2830" w:type="dxa"/>
            <w:vAlign w:val="center"/>
          </w:tcPr>
          <w:p>
            <w:pPr>
              <w:spacing w:line="360" w:lineRule="auto"/>
              <w:jc w:val="left"/>
              <w:rPr>
                <w:rFonts w:ascii="宋体" w:hAnsi="宋体" w:eastAsia="宋体"/>
                <w:szCs w:val="21"/>
              </w:rPr>
            </w:pPr>
            <w:r>
              <w:rPr>
                <w:rFonts w:hint="eastAsia" w:ascii="宋体" w:hAnsi="宋体" w:eastAsia="宋体"/>
                <w:szCs w:val="21"/>
              </w:rPr>
              <w:t>信息安全管理体系</w:t>
            </w:r>
            <w:r>
              <w:rPr>
                <w:rFonts w:ascii="宋体" w:hAnsi="宋体" w:eastAsia="宋体"/>
                <w:szCs w:val="21"/>
              </w:rPr>
              <w:t>ISMS</w:t>
            </w:r>
          </w:p>
        </w:tc>
        <w:tc>
          <w:tcPr>
            <w:tcW w:w="4395" w:type="dxa"/>
            <w:vAlign w:val="center"/>
          </w:tcPr>
          <w:p>
            <w:pPr>
              <w:spacing w:line="360" w:lineRule="auto"/>
              <w:jc w:val="left"/>
              <w:rPr>
                <w:rFonts w:hint="eastAsia" w:ascii="宋体" w:hAnsi="宋体" w:eastAsia="宋体"/>
                <w:szCs w:val="21"/>
              </w:rPr>
            </w:pPr>
            <w:r>
              <w:rPr>
                <w:rFonts w:hint="eastAsia" w:ascii="宋体" w:hAnsi="宋体" w:eastAsia="宋体"/>
                <w:szCs w:val="21"/>
              </w:rPr>
              <w:t xml:space="preserve">□ </w:t>
            </w:r>
            <w:r>
              <w:rPr>
                <w:rFonts w:ascii="宋体" w:hAnsi="宋体" w:eastAsia="宋体"/>
                <w:szCs w:val="21"/>
              </w:rPr>
              <w:t>GB/T2</w:t>
            </w:r>
            <w:r>
              <w:rPr>
                <w:rFonts w:hint="eastAsia" w:ascii="宋体" w:hAnsi="宋体" w:eastAsia="宋体"/>
                <w:szCs w:val="21"/>
              </w:rPr>
              <w:t>2080</w:t>
            </w:r>
            <w:r>
              <w:rPr>
                <w:rFonts w:ascii="宋体" w:hAnsi="宋体" w:eastAsia="宋体"/>
                <w:szCs w:val="21"/>
              </w:rPr>
              <w:t>-2016</w:t>
            </w:r>
            <w:r>
              <w:rPr>
                <w:rFonts w:hint="eastAsia" w:ascii="宋体" w:hAnsi="宋体" w:eastAsia="宋体"/>
                <w:szCs w:val="21"/>
              </w:rPr>
              <w:t>（ISO/IEC 27001：</w:t>
            </w:r>
            <w:r>
              <w:rPr>
                <w:rFonts w:ascii="宋体" w:hAnsi="宋体" w:eastAsia="宋体"/>
                <w:szCs w:val="21"/>
              </w:rPr>
              <w:t>2013</w:t>
            </w:r>
            <w:r>
              <w:rPr>
                <w:rFonts w:hint="eastAsia" w:ascii="宋体" w:hAnsi="宋体" w:eastAsia="宋体"/>
                <w:szCs w:val="21"/>
              </w:rPr>
              <w:t>）</w:t>
            </w:r>
          </w:p>
          <w:p>
            <w:pPr>
              <w:keepNext w:val="0"/>
              <w:keepLines w:val="0"/>
              <w:widowControl/>
              <w:suppressLineNumbers w:val="0"/>
              <w:jc w:val="left"/>
              <w:rPr>
                <w:highlight w:val="none"/>
              </w:rPr>
            </w:pPr>
            <w:r>
              <w:rPr>
                <w:rFonts w:hint="eastAsia" w:ascii="宋体" w:hAnsi="宋体" w:eastAsia="宋体"/>
                <w:szCs w:val="21"/>
                <w:highlight w:val="none"/>
              </w:rPr>
              <w:t xml:space="preserve">□ </w:t>
            </w:r>
            <w:r>
              <w:rPr>
                <w:rFonts w:ascii="宋体" w:hAnsi="宋体" w:eastAsia="宋体"/>
                <w:szCs w:val="21"/>
                <w:highlight w:val="none"/>
                <w:lang w:val="en-US" w:eastAsia="zh-CN"/>
              </w:rPr>
              <w:t>ISO/IEC 27001:2022</w:t>
            </w:r>
          </w:p>
          <w:p>
            <w:pPr>
              <w:spacing w:line="360" w:lineRule="auto"/>
              <w:jc w:val="left"/>
              <w:rPr>
                <w:rFonts w:hint="eastAsia" w:ascii="宋体" w:hAnsi="宋体" w:eastAsia="宋体"/>
                <w:szCs w:val="21"/>
              </w:rPr>
            </w:pPr>
          </w:p>
          <w:p>
            <w:pPr>
              <w:spacing w:line="360" w:lineRule="auto"/>
              <w:jc w:val="left"/>
              <w:rPr>
                <w:rFonts w:hint="eastAsia" w:ascii="宋体" w:hAnsi="宋体" w:eastAsia="宋体"/>
                <w:szCs w:val="21"/>
              </w:rPr>
            </w:pPr>
          </w:p>
        </w:tc>
        <w:tc>
          <w:tcPr>
            <w:tcW w:w="1984" w:type="dxa"/>
            <w:vAlign w:val="center"/>
          </w:tcPr>
          <w:p>
            <w:pPr>
              <w:spacing w:line="0" w:lineRule="atLeast"/>
              <w:jc w:val="left"/>
              <w:rPr>
                <w:rFonts w:hint="eastAsia" w:ascii="宋体" w:hAnsi="宋体" w:eastAsia="宋体" w:cstheme="minorBidi"/>
                <w:szCs w:val="21"/>
              </w:rPr>
            </w:pPr>
            <w:r>
              <w:rPr>
                <w:rFonts w:hint="eastAsia" w:ascii="宋体" w:hAnsi="宋体" w:eastAsia="宋体" w:cstheme="minorBidi"/>
                <w:szCs w:val="21"/>
              </w:rPr>
              <w:t>□初次认证              □再认证</w:t>
            </w:r>
          </w:p>
        </w:tc>
        <w:tc>
          <w:tcPr>
            <w:tcW w:w="1559" w:type="dxa"/>
            <w:vAlign w:val="center"/>
          </w:tcPr>
          <w:p>
            <w:pPr>
              <w:spacing w:line="360" w:lineRule="auto"/>
              <w:jc w:val="left"/>
              <w:rPr>
                <w:rFonts w:ascii="宋体" w:hAnsi="宋体" w:eastAsia="宋体"/>
                <w:szCs w:val="21"/>
              </w:rPr>
            </w:pP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exact"/>
          <w:jc w:val="center"/>
        </w:trPr>
        <w:tc>
          <w:tcPr>
            <w:tcW w:w="2830" w:type="dxa"/>
            <w:vAlign w:val="center"/>
          </w:tcPr>
          <w:p>
            <w:pPr>
              <w:spacing w:line="360" w:lineRule="auto"/>
              <w:jc w:val="left"/>
              <w:rPr>
                <w:rFonts w:ascii="宋体" w:hAnsi="宋体" w:eastAsia="宋体"/>
                <w:szCs w:val="21"/>
              </w:rPr>
            </w:pPr>
            <w:r>
              <w:rPr>
                <w:rFonts w:hint="eastAsia" w:ascii="宋体" w:hAnsi="宋体" w:eastAsia="宋体"/>
                <w:szCs w:val="21"/>
              </w:rPr>
              <w:t>隐私信息管理体系</w:t>
            </w:r>
            <w:r>
              <w:rPr>
                <w:rFonts w:ascii="宋体" w:hAnsi="宋体" w:eastAsia="宋体"/>
                <w:szCs w:val="21"/>
              </w:rPr>
              <w:t>PIMS</w:t>
            </w:r>
          </w:p>
        </w:tc>
        <w:tc>
          <w:tcPr>
            <w:tcW w:w="4395" w:type="dxa"/>
            <w:vAlign w:val="center"/>
          </w:tcPr>
          <w:p>
            <w:pPr>
              <w:spacing w:line="360" w:lineRule="auto"/>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ISO IEC 27701-2019</w:t>
            </w:r>
          </w:p>
        </w:tc>
        <w:tc>
          <w:tcPr>
            <w:tcW w:w="1984" w:type="dxa"/>
            <w:vAlign w:val="center"/>
          </w:tcPr>
          <w:p>
            <w:pPr>
              <w:spacing w:line="0" w:lineRule="atLeast"/>
              <w:jc w:val="left"/>
              <w:rPr>
                <w:rFonts w:hint="eastAsia" w:ascii="宋体" w:hAnsi="宋体" w:eastAsia="宋体" w:cstheme="minorBidi"/>
                <w:szCs w:val="21"/>
              </w:rPr>
            </w:pPr>
            <w:r>
              <w:rPr>
                <w:rFonts w:hint="eastAsia" w:ascii="宋体" w:hAnsi="宋体" w:eastAsia="宋体" w:cstheme="minorBidi"/>
                <w:szCs w:val="21"/>
              </w:rPr>
              <w:t>□初次认证                        □再认证</w:t>
            </w:r>
          </w:p>
        </w:tc>
        <w:tc>
          <w:tcPr>
            <w:tcW w:w="1559" w:type="dxa"/>
            <w:vAlign w:val="center"/>
          </w:tcPr>
          <w:p>
            <w:pPr>
              <w:spacing w:line="360" w:lineRule="auto"/>
              <w:jc w:val="left"/>
              <w:rPr>
                <w:rFonts w:ascii="宋体" w:hAnsi="宋体" w:eastAsia="宋体"/>
                <w:szCs w:val="21"/>
              </w:rPr>
            </w:pP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exact"/>
          <w:jc w:val="center"/>
        </w:trPr>
        <w:tc>
          <w:tcPr>
            <w:tcW w:w="2830" w:type="dxa"/>
            <w:vAlign w:val="center"/>
          </w:tcPr>
          <w:p>
            <w:pPr>
              <w:spacing w:line="360" w:lineRule="auto"/>
              <w:jc w:val="left"/>
              <w:rPr>
                <w:rFonts w:ascii="宋体" w:hAnsi="宋体" w:eastAsia="宋体"/>
                <w:szCs w:val="21"/>
              </w:rPr>
            </w:pPr>
            <w:r>
              <w:rPr>
                <w:rFonts w:hint="eastAsia" w:ascii="宋体" w:hAnsi="宋体" w:eastAsia="宋体"/>
                <w:szCs w:val="21"/>
              </w:rPr>
              <w:t>个人信息保护管理体系</w:t>
            </w:r>
            <w:r>
              <w:rPr>
                <w:rFonts w:ascii="宋体" w:hAnsi="宋体" w:eastAsia="宋体"/>
                <w:szCs w:val="21"/>
              </w:rPr>
              <w:t>PIIPMS</w:t>
            </w:r>
          </w:p>
        </w:tc>
        <w:tc>
          <w:tcPr>
            <w:tcW w:w="4395" w:type="dxa"/>
            <w:vAlign w:val="center"/>
          </w:tcPr>
          <w:p>
            <w:pPr>
              <w:spacing w:line="360" w:lineRule="auto"/>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ISO IEC 29151-2017</w:t>
            </w:r>
          </w:p>
        </w:tc>
        <w:tc>
          <w:tcPr>
            <w:tcW w:w="1984" w:type="dxa"/>
            <w:vAlign w:val="center"/>
          </w:tcPr>
          <w:p>
            <w:pPr>
              <w:spacing w:line="0" w:lineRule="atLeast"/>
              <w:jc w:val="left"/>
              <w:rPr>
                <w:rFonts w:hint="eastAsia" w:ascii="宋体" w:hAnsi="宋体" w:eastAsia="宋体" w:cstheme="minorBidi"/>
                <w:szCs w:val="21"/>
              </w:rPr>
            </w:pPr>
            <w:r>
              <w:rPr>
                <w:rFonts w:hint="eastAsia" w:ascii="宋体" w:hAnsi="宋体" w:eastAsia="宋体" w:cstheme="minorBidi"/>
                <w:szCs w:val="21"/>
              </w:rPr>
              <w:t>□初次认证                        □再认证</w:t>
            </w:r>
          </w:p>
        </w:tc>
        <w:tc>
          <w:tcPr>
            <w:tcW w:w="1559" w:type="dxa"/>
            <w:vAlign w:val="center"/>
          </w:tcPr>
          <w:p>
            <w:pPr>
              <w:spacing w:line="360" w:lineRule="auto"/>
              <w:jc w:val="left"/>
              <w:rPr>
                <w:rFonts w:ascii="宋体" w:hAnsi="宋体" w:eastAsia="宋体"/>
                <w:szCs w:val="21"/>
              </w:rPr>
            </w:pP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exact"/>
          <w:jc w:val="center"/>
        </w:trPr>
        <w:tc>
          <w:tcPr>
            <w:tcW w:w="2830" w:type="dxa"/>
            <w:vAlign w:val="center"/>
          </w:tcPr>
          <w:p>
            <w:pPr>
              <w:spacing w:line="360" w:lineRule="auto"/>
              <w:jc w:val="left"/>
              <w:rPr>
                <w:rFonts w:ascii="宋体" w:hAnsi="宋体" w:eastAsia="宋体"/>
                <w:szCs w:val="21"/>
              </w:rPr>
            </w:pPr>
            <w:r>
              <w:rPr>
                <w:rFonts w:hint="eastAsia" w:ascii="宋体" w:hAnsi="宋体" w:eastAsia="宋体"/>
                <w:szCs w:val="21"/>
              </w:rPr>
              <w:t>云服务信息安全管理体系</w:t>
            </w:r>
            <w:r>
              <w:rPr>
                <w:rFonts w:ascii="宋体" w:hAnsi="宋体" w:eastAsia="宋体"/>
                <w:szCs w:val="21"/>
              </w:rPr>
              <w:t>CSSMS</w:t>
            </w:r>
          </w:p>
        </w:tc>
        <w:tc>
          <w:tcPr>
            <w:tcW w:w="4395" w:type="dxa"/>
            <w:vAlign w:val="center"/>
          </w:tcPr>
          <w:p>
            <w:pPr>
              <w:spacing w:line="360" w:lineRule="auto"/>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ISO IEC 27017-2015</w:t>
            </w:r>
          </w:p>
        </w:tc>
        <w:tc>
          <w:tcPr>
            <w:tcW w:w="1984" w:type="dxa"/>
            <w:vAlign w:val="center"/>
          </w:tcPr>
          <w:p>
            <w:pPr>
              <w:spacing w:line="0" w:lineRule="atLeast"/>
              <w:jc w:val="left"/>
              <w:rPr>
                <w:rFonts w:hint="eastAsia" w:ascii="宋体" w:hAnsi="宋体" w:eastAsia="宋体" w:cstheme="minorBidi"/>
                <w:szCs w:val="21"/>
              </w:rPr>
            </w:pPr>
            <w:r>
              <w:rPr>
                <w:rFonts w:hint="eastAsia" w:ascii="宋体" w:hAnsi="宋体" w:eastAsia="宋体" w:cstheme="minorBidi"/>
                <w:szCs w:val="21"/>
              </w:rPr>
              <w:t>□初次认证         □再认证</w:t>
            </w:r>
          </w:p>
        </w:tc>
        <w:tc>
          <w:tcPr>
            <w:tcW w:w="1559" w:type="dxa"/>
            <w:vAlign w:val="center"/>
          </w:tcPr>
          <w:p>
            <w:pPr>
              <w:spacing w:line="360" w:lineRule="auto"/>
              <w:jc w:val="left"/>
              <w:rPr>
                <w:rFonts w:ascii="宋体" w:hAnsi="宋体" w:eastAsia="宋体"/>
                <w:szCs w:val="21"/>
              </w:rPr>
            </w:pP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exact"/>
          <w:jc w:val="center"/>
        </w:trPr>
        <w:tc>
          <w:tcPr>
            <w:tcW w:w="2830" w:type="dxa"/>
            <w:vAlign w:val="center"/>
          </w:tcPr>
          <w:p>
            <w:pPr>
              <w:spacing w:line="360" w:lineRule="auto"/>
              <w:jc w:val="left"/>
              <w:rPr>
                <w:rFonts w:ascii="宋体" w:hAnsi="宋体" w:eastAsia="宋体"/>
                <w:szCs w:val="21"/>
              </w:rPr>
            </w:pPr>
            <w:r>
              <w:rPr>
                <w:rFonts w:hint="eastAsia" w:ascii="宋体" w:hAnsi="宋体" w:eastAsia="宋体"/>
                <w:szCs w:val="21"/>
              </w:rPr>
              <w:t>公有云个人信息保护管理体系</w:t>
            </w:r>
            <w:r>
              <w:rPr>
                <w:rFonts w:ascii="宋体" w:hAnsi="宋体" w:eastAsia="宋体"/>
                <w:szCs w:val="21"/>
              </w:rPr>
              <w:t>CPIISMS</w:t>
            </w:r>
          </w:p>
        </w:tc>
        <w:tc>
          <w:tcPr>
            <w:tcW w:w="4395" w:type="dxa"/>
            <w:vAlign w:val="center"/>
          </w:tcPr>
          <w:p>
            <w:pPr>
              <w:spacing w:line="360" w:lineRule="auto"/>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ISO IEC 27018-2019</w:t>
            </w:r>
          </w:p>
        </w:tc>
        <w:tc>
          <w:tcPr>
            <w:tcW w:w="1984" w:type="dxa"/>
            <w:vAlign w:val="center"/>
          </w:tcPr>
          <w:p>
            <w:pPr>
              <w:spacing w:line="0" w:lineRule="atLeast"/>
              <w:jc w:val="left"/>
              <w:rPr>
                <w:rFonts w:hint="eastAsia" w:ascii="宋体" w:hAnsi="宋体" w:eastAsia="宋体" w:cstheme="minorBidi"/>
                <w:szCs w:val="21"/>
              </w:rPr>
            </w:pPr>
            <w:r>
              <w:rPr>
                <w:rFonts w:hint="eastAsia" w:ascii="宋体" w:hAnsi="宋体" w:eastAsia="宋体" w:cstheme="minorBidi"/>
                <w:szCs w:val="21"/>
              </w:rPr>
              <w:t>□初次认证                        □再认证</w:t>
            </w:r>
          </w:p>
        </w:tc>
        <w:tc>
          <w:tcPr>
            <w:tcW w:w="1559" w:type="dxa"/>
            <w:vAlign w:val="center"/>
          </w:tcPr>
          <w:p>
            <w:pPr>
              <w:spacing w:line="360" w:lineRule="auto"/>
              <w:jc w:val="left"/>
              <w:rPr>
                <w:rFonts w:ascii="宋体" w:hAnsi="宋体" w:eastAsia="宋体"/>
                <w:szCs w:val="21"/>
              </w:rPr>
            </w:pP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2830" w:type="dxa"/>
            <w:vAlign w:val="center"/>
          </w:tcPr>
          <w:p>
            <w:pPr>
              <w:spacing w:line="360" w:lineRule="auto"/>
              <w:jc w:val="left"/>
              <w:rPr>
                <w:rFonts w:ascii="宋体" w:hAnsi="宋体" w:eastAsia="宋体"/>
                <w:szCs w:val="21"/>
              </w:rPr>
            </w:pPr>
            <w:r>
              <w:rPr>
                <w:rFonts w:hint="eastAsia" w:ascii="宋体" w:hAnsi="宋体" w:eastAsia="宋体"/>
                <w:szCs w:val="21"/>
              </w:rPr>
              <w:t>信息技术服务管理体系I</w:t>
            </w:r>
            <w:r>
              <w:rPr>
                <w:rFonts w:ascii="宋体" w:hAnsi="宋体" w:eastAsia="宋体"/>
                <w:szCs w:val="21"/>
              </w:rPr>
              <w:t>TSMS</w:t>
            </w:r>
          </w:p>
        </w:tc>
        <w:tc>
          <w:tcPr>
            <w:tcW w:w="4395" w:type="dxa"/>
            <w:vAlign w:val="center"/>
          </w:tcPr>
          <w:p>
            <w:pPr>
              <w:spacing w:line="360" w:lineRule="auto"/>
              <w:jc w:val="left"/>
              <w:rPr>
                <w:rFonts w:ascii="宋体" w:hAnsi="宋体" w:eastAsia="宋体"/>
                <w:szCs w:val="21"/>
              </w:rPr>
            </w:pPr>
            <w:r>
              <w:rPr>
                <w:rFonts w:hint="eastAsia" w:ascii="宋体" w:hAnsi="宋体" w:eastAsia="宋体"/>
                <w:szCs w:val="21"/>
              </w:rPr>
              <w:t xml:space="preserve">□ </w:t>
            </w:r>
            <w:r>
              <w:rPr>
                <w:rFonts w:ascii="宋体" w:hAnsi="宋体" w:eastAsia="宋体"/>
                <w:szCs w:val="21"/>
              </w:rPr>
              <w:t>ISO/IEC 20000-1:2018</w:t>
            </w:r>
          </w:p>
        </w:tc>
        <w:tc>
          <w:tcPr>
            <w:tcW w:w="1984" w:type="dxa"/>
            <w:vAlign w:val="center"/>
          </w:tcPr>
          <w:p>
            <w:pPr>
              <w:spacing w:line="0" w:lineRule="atLeast"/>
              <w:jc w:val="left"/>
              <w:rPr>
                <w:rFonts w:hint="eastAsia" w:ascii="宋体" w:hAnsi="宋体" w:eastAsia="宋体" w:cstheme="minorBidi"/>
                <w:szCs w:val="21"/>
              </w:rPr>
            </w:pPr>
            <w:r>
              <w:rPr>
                <w:rFonts w:hint="eastAsia" w:ascii="宋体" w:hAnsi="宋体" w:eastAsia="宋体" w:cstheme="minorBidi"/>
                <w:szCs w:val="21"/>
              </w:rPr>
              <w:t>□初次认证                        □再认证</w:t>
            </w:r>
          </w:p>
        </w:tc>
        <w:tc>
          <w:tcPr>
            <w:tcW w:w="1559" w:type="dxa"/>
            <w:vAlign w:val="center"/>
          </w:tcPr>
          <w:p>
            <w:pPr>
              <w:spacing w:line="360" w:lineRule="auto"/>
              <w:jc w:val="left"/>
              <w:rPr>
                <w:rFonts w:ascii="宋体" w:hAnsi="宋体" w:eastAsia="宋体"/>
                <w:szCs w:val="21"/>
              </w:rPr>
            </w:pP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2830" w:type="dxa"/>
            <w:vAlign w:val="center"/>
          </w:tcPr>
          <w:p>
            <w:pPr>
              <w:spacing w:line="360" w:lineRule="auto"/>
              <w:jc w:val="left"/>
              <w:rPr>
                <w:rFonts w:ascii="宋体" w:hAnsi="宋体" w:eastAsia="宋体"/>
                <w:szCs w:val="21"/>
              </w:rPr>
            </w:pPr>
            <w:r>
              <w:rPr>
                <w:rFonts w:hint="eastAsia" w:ascii="宋体" w:hAnsi="宋体" w:eastAsia="宋体"/>
                <w:szCs w:val="21"/>
              </w:rPr>
              <w:t>业务连续性管理体系认证B</w:t>
            </w:r>
            <w:r>
              <w:rPr>
                <w:rFonts w:ascii="宋体" w:hAnsi="宋体" w:eastAsia="宋体"/>
                <w:szCs w:val="21"/>
              </w:rPr>
              <w:t>CMS</w:t>
            </w:r>
          </w:p>
        </w:tc>
        <w:tc>
          <w:tcPr>
            <w:tcW w:w="4395" w:type="dxa"/>
            <w:vAlign w:val="center"/>
          </w:tcPr>
          <w:p>
            <w:pPr>
              <w:spacing w:line="360" w:lineRule="auto"/>
              <w:jc w:val="left"/>
              <w:rPr>
                <w:rFonts w:ascii="宋体" w:hAnsi="宋体" w:eastAsia="宋体"/>
                <w:szCs w:val="21"/>
              </w:rPr>
            </w:pPr>
            <w:r>
              <w:rPr>
                <w:rFonts w:ascii="宋体" w:hAnsi="宋体" w:eastAsia="宋体"/>
                <w:szCs w:val="21"/>
              </w:rPr>
              <w:t>□ ISO 22301:2019</w:t>
            </w:r>
          </w:p>
        </w:tc>
        <w:tc>
          <w:tcPr>
            <w:tcW w:w="1984" w:type="dxa"/>
            <w:vAlign w:val="center"/>
          </w:tcPr>
          <w:p>
            <w:pPr>
              <w:spacing w:line="0" w:lineRule="atLeast"/>
              <w:jc w:val="left"/>
              <w:rPr>
                <w:rFonts w:hint="eastAsia" w:ascii="宋体" w:hAnsi="宋体" w:eastAsia="宋体" w:cstheme="minorBidi"/>
                <w:szCs w:val="21"/>
              </w:rPr>
            </w:pPr>
            <w:r>
              <w:rPr>
                <w:rFonts w:hint="eastAsia" w:ascii="宋体" w:hAnsi="宋体" w:eastAsia="宋体" w:cstheme="minorBidi"/>
                <w:szCs w:val="21"/>
              </w:rPr>
              <w:t>□初次认证           □再认证</w:t>
            </w:r>
          </w:p>
        </w:tc>
        <w:tc>
          <w:tcPr>
            <w:tcW w:w="1559" w:type="dxa"/>
            <w:vAlign w:val="center"/>
          </w:tcPr>
          <w:p>
            <w:pPr>
              <w:spacing w:line="360" w:lineRule="auto"/>
              <w:jc w:val="left"/>
              <w:rPr>
                <w:rFonts w:ascii="宋体" w:hAnsi="宋体" w:eastAsia="宋体"/>
                <w:szCs w:val="21"/>
              </w:rPr>
            </w:pP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2830" w:type="dxa"/>
            <w:vAlign w:val="center"/>
          </w:tcPr>
          <w:p>
            <w:pPr>
              <w:spacing w:line="360" w:lineRule="auto"/>
              <w:jc w:val="left"/>
              <w:rPr>
                <w:rFonts w:ascii="宋体" w:hAnsi="宋体" w:eastAsia="宋体"/>
                <w:szCs w:val="21"/>
              </w:rPr>
            </w:pPr>
            <w:r>
              <w:rPr>
                <w:rFonts w:hint="eastAsia" w:ascii="宋体" w:hAnsi="宋体" w:eastAsia="宋体"/>
                <w:szCs w:val="21"/>
              </w:rPr>
              <w:t>危害分析与关键控制点体系认证（</w:t>
            </w:r>
            <w:r>
              <w:rPr>
                <w:rFonts w:ascii="宋体" w:hAnsi="宋体" w:eastAsia="宋体"/>
                <w:szCs w:val="21"/>
              </w:rPr>
              <w:t>HACCP</w:t>
            </w:r>
            <w:r>
              <w:rPr>
                <w:rFonts w:hint="eastAsia" w:ascii="宋体" w:hAnsi="宋体" w:eastAsia="宋体"/>
                <w:szCs w:val="21"/>
              </w:rPr>
              <w:t>）</w:t>
            </w:r>
          </w:p>
        </w:tc>
        <w:tc>
          <w:tcPr>
            <w:tcW w:w="4395" w:type="dxa"/>
            <w:vAlign w:val="center"/>
          </w:tcPr>
          <w:p>
            <w:pPr>
              <w:spacing w:line="360" w:lineRule="auto"/>
              <w:jc w:val="left"/>
              <w:rPr>
                <w:rFonts w:ascii="宋体" w:hAnsi="宋体" w:eastAsia="宋体"/>
                <w:szCs w:val="21"/>
              </w:rPr>
            </w:pPr>
            <w:r>
              <w:rPr>
                <w:rFonts w:ascii="宋体" w:hAnsi="宋体" w:eastAsia="宋体"/>
                <w:szCs w:val="21"/>
              </w:rPr>
              <w:t xml:space="preserve">□ </w:t>
            </w:r>
            <w:r>
              <w:rPr>
                <w:rFonts w:hint="eastAsia" w:ascii="宋体" w:hAnsi="宋体" w:eastAsia="宋体"/>
                <w:szCs w:val="21"/>
              </w:rPr>
              <w:t>危害分析与关键控制点（HACCP）体系认证要求（V1.0）</w:t>
            </w:r>
          </w:p>
        </w:tc>
        <w:tc>
          <w:tcPr>
            <w:tcW w:w="1984" w:type="dxa"/>
            <w:vAlign w:val="center"/>
          </w:tcPr>
          <w:p>
            <w:pPr>
              <w:spacing w:line="0" w:lineRule="atLeast"/>
              <w:jc w:val="left"/>
              <w:rPr>
                <w:rFonts w:hint="eastAsia" w:ascii="宋体" w:hAnsi="宋体" w:eastAsia="宋体" w:cstheme="minorBidi"/>
                <w:szCs w:val="21"/>
              </w:rPr>
            </w:pPr>
            <w:r>
              <w:rPr>
                <w:rFonts w:hint="eastAsia" w:ascii="宋体" w:hAnsi="宋体" w:eastAsia="宋体" w:cstheme="minorBidi"/>
                <w:szCs w:val="21"/>
              </w:rPr>
              <w:t>□初次认证                        □再认证</w:t>
            </w:r>
          </w:p>
        </w:tc>
        <w:tc>
          <w:tcPr>
            <w:tcW w:w="1559" w:type="dxa"/>
            <w:vAlign w:val="center"/>
          </w:tcPr>
          <w:p>
            <w:pPr>
              <w:spacing w:line="360" w:lineRule="auto"/>
              <w:jc w:val="left"/>
              <w:rPr>
                <w:rFonts w:ascii="宋体" w:hAnsi="宋体" w:eastAsia="宋体"/>
                <w:szCs w:val="21"/>
              </w:rPr>
            </w:pP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2830" w:type="dxa"/>
            <w:vAlign w:val="center"/>
          </w:tcPr>
          <w:p>
            <w:pPr>
              <w:spacing w:line="360" w:lineRule="auto"/>
              <w:jc w:val="left"/>
              <w:rPr>
                <w:rFonts w:ascii="宋体" w:hAnsi="宋体" w:eastAsia="宋体"/>
                <w:szCs w:val="21"/>
              </w:rPr>
            </w:pPr>
            <w:r>
              <w:rPr>
                <w:rFonts w:hint="eastAsia" w:ascii="宋体" w:hAnsi="宋体" w:eastAsia="宋体"/>
                <w:szCs w:val="21"/>
              </w:rPr>
              <w:t>食品安全管理体系认证</w:t>
            </w:r>
            <w:r>
              <w:rPr>
                <w:rFonts w:ascii="宋体" w:hAnsi="宋体" w:eastAsia="宋体"/>
                <w:szCs w:val="21"/>
              </w:rPr>
              <w:t>（FSMS）</w:t>
            </w:r>
          </w:p>
        </w:tc>
        <w:tc>
          <w:tcPr>
            <w:tcW w:w="4395" w:type="dxa"/>
            <w:vAlign w:val="center"/>
          </w:tcPr>
          <w:p>
            <w:pPr>
              <w:spacing w:line="360" w:lineRule="auto"/>
              <w:jc w:val="left"/>
              <w:rPr>
                <w:rFonts w:ascii="宋体" w:hAnsi="宋体" w:eastAsia="宋体"/>
                <w:szCs w:val="21"/>
              </w:rPr>
            </w:pPr>
            <w:r>
              <w:rPr>
                <w:rFonts w:ascii="宋体" w:hAnsi="宋体" w:eastAsia="宋体"/>
                <w:szCs w:val="21"/>
              </w:rPr>
              <w:t>□</w:t>
            </w:r>
            <w:r>
              <w:rPr>
                <w:rFonts w:hint="eastAsia" w:ascii="宋体" w:hAnsi="宋体" w:eastAsia="宋体"/>
                <w:szCs w:val="21"/>
              </w:rPr>
              <w:t>ISO22000：2018</w:t>
            </w:r>
          </w:p>
        </w:tc>
        <w:tc>
          <w:tcPr>
            <w:tcW w:w="1984" w:type="dxa"/>
            <w:vAlign w:val="center"/>
          </w:tcPr>
          <w:p>
            <w:pPr>
              <w:spacing w:line="0" w:lineRule="atLeast"/>
              <w:jc w:val="left"/>
              <w:rPr>
                <w:rFonts w:hint="eastAsia" w:ascii="宋体" w:hAnsi="宋体" w:eastAsia="宋体" w:cstheme="minorBidi"/>
                <w:szCs w:val="21"/>
              </w:rPr>
            </w:pPr>
            <w:r>
              <w:rPr>
                <w:rFonts w:hint="eastAsia" w:ascii="宋体" w:hAnsi="宋体" w:eastAsia="宋体" w:cstheme="minorBidi"/>
                <w:szCs w:val="21"/>
              </w:rPr>
              <w:t>□初次认证                        □再认证</w:t>
            </w:r>
          </w:p>
        </w:tc>
        <w:tc>
          <w:tcPr>
            <w:tcW w:w="1559" w:type="dxa"/>
            <w:vAlign w:val="center"/>
          </w:tcPr>
          <w:p>
            <w:pPr>
              <w:spacing w:line="360" w:lineRule="auto"/>
              <w:jc w:val="left"/>
              <w:rPr>
                <w:rFonts w:ascii="宋体" w:hAnsi="宋体" w:eastAsia="宋体"/>
                <w:szCs w:val="21"/>
              </w:rPr>
            </w:pP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exact"/>
          <w:jc w:val="center"/>
        </w:trPr>
        <w:tc>
          <w:tcPr>
            <w:tcW w:w="2830" w:type="dxa"/>
            <w:vAlign w:val="center"/>
          </w:tcPr>
          <w:p>
            <w:pPr>
              <w:spacing w:line="360" w:lineRule="auto"/>
              <w:jc w:val="left"/>
              <w:rPr>
                <w:rFonts w:ascii="宋体" w:hAnsi="宋体" w:eastAsia="宋体"/>
                <w:szCs w:val="21"/>
              </w:rPr>
            </w:pPr>
            <w:r>
              <w:rPr>
                <w:rFonts w:hint="eastAsia" w:ascii="宋体" w:hAnsi="宋体" w:eastAsia="宋体"/>
                <w:szCs w:val="21"/>
              </w:rPr>
              <w:t>诚信管理体系E</w:t>
            </w:r>
            <w:r>
              <w:rPr>
                <w:rFonts w:ascii="宋体" w:hAnsi="宋体" w:eastAsia="宋体"/>
                <w:szCs w:val="21"/>
              </w:rPr>
              <w:t>IMS</w:t>
            </w:r>
          </w:p>
        </w:tc>
        <w:tc>
          <w:tcPr>
            <w:tcW w:w="4395" w:type="dxa"/>
            <w:vAlign w:val="center"/>
          </w:tcPr>
          <w:p>
            <w:pPr>
              <w:spacing w:line="360" w:lineRule="auto"/>
              <w:jc w:val="left"/>
              <w:rPr>
                <w:rFonts w:ascii="宋体" w:hAnsi="宋体" w:eastAsia="宋体"/>
                <w:szCs w:val="21"/>
              </w:rPr>
            </w:pPr>
            <w:r>
              <w:rPr>
                <w:rFonts w:hint="eastAsia" w:ascii="宋体" w:hAnsi="宋体" w:eastAsia="宋体"/>
                <w:szCs w:val="21"/>
                <w:highlight w:val="none"/>
              </w:rPr>
              <w:t xml:space="preserve">□ </w:t>
            </w:r>
            <w:r>
              <w:rPr>
                <w:rFonts w:ascii="宋体" w:hAnsi="宋体" w:eastAsia="宋体"/>
                <w:szCs w:val="21"/>
                <w:highlight w:val="none"/>
              </w:rPr>
              <w:t>GB/T31950-20</w:t>
            </w:r>
            <w:r>
              <w:rPr>
                <w:rFonts w:hint="eastAsia" w:ascii="宋体" w:hAnsi="宋体" w:eastAsia="宋体"/>
                <w:szCs w:val="21"/>
                <w:highlight w:val="none"/>
                <w:lang w:val="en-US" w:eastAsia="zh-CN"/>
              </w:rPr>
              <w:t>23</w:t>
            </w:r>
          </w:p>
        </w:tc>
        <w:tc>
          <w:tcPr>
            <w:tcW w:w="1984" w:type="dxa"/>
            <w:vAlign w:val="center"/>
          </w:tcPr>
          <w:p>
            <w:pPr>
              <w:spacing w:line="0" w:lineRule="atLeast"/>
              <w:jc w:val="left"/>
              <w:rPr>
                <w:rFonts w:hint="eastAsia" w:ascii="宋体" w:hAnsi="宋体" w:eastAsia="宋体" w:cstheme="minorBidi"/>
                <w:szCs w:val="21"/>
              </w:rPr>
            </w:pPr>
            <w:r>
              <w:rPr>
                <w:rFonts w:hint="eastAsia" w:ascii="宋体" w:hAnsi="宋体" w:eastAsia="宋体" w:cstheme="minorBidi"/>
                <w:szCs w:val="21"/>
              </w:rPr>
              <w:t>□初次认证                        □再认证</w:t>
            </w:r>
          </w:p>
        </w:tc>
        <w:tc>
          <w:tcPr>
            <w:tcW w:w="1559" w:type="dxa"/>
            <w:vAlign w:val="center"/>
          </w:tcPr>
          <w:p>
            <w:pPr>
              <w:spacing w:line="360" w:lineRule="auto"/>
              <w:jc w:val="left"/>
              <w:rPr>
                <w:rFonts w:ascii="宋体" w:hAnsi="宋体" w:eastAsia="宋体"/>
                <w:szCs w:val="21"/>
              </w:rPr>
            </w:pP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exact"/>
          <w:jc w:val="center"/>
        </w:trPr>
        <w:tc>
          <w:tcPr>
            <w:tcW w:w="2830" w:type="dxa"/>
            <w:vAlign w:val="center"/>
          </w:tcPr>
          <w:p>
            <w:pPr>
              <w:spacing w:line="0" w:lineRule="atLeast"/>
              <w:jc w:val="left"/>
              <w:rPr>
                <w:rFonts w:hint="default" w:ascii="宋体" w:hAnsi="宋体" w:eastAsia="宋体"/>
                <w:szCs w:val="21"/>
                <w:highlight w:val="none"/>
                <w:lang w:val="en-US" w:eastAsia="zh-CN"/>
              </w:rPr>
            </w:pPr>
            <w:r>
              <w:rPr>
                <w:rFonts w:hint="eastAsia" w:ascii="宋体" w:hAnsi="宋体" w:eastAsia="宋体"/>
                <w:szCs w:val="21"/>
              </w:rPr>
              <w:t>合规管理体系（CMS）</w:t>
            </w:r>
          </w:p>
        </w:tc>
        <w:tc>
          <w:tcPr>
            <w:tcW w:w="4395" w:type="dxa"/>
            <w:vAlign w:val="center"/>
          </w:tcPr>
          <w:p>
            <w:pPr>
              <w:spacing w:line="0" w:lineRule="atLeast"/>
              <w:jc w:val="left"/>
              <w:rPr>
                <w:rFonts w:ascii="宋体" w:hAnsi="宋体" w:eastAsia="宋体"/>
                <w:szCs w:val="21"/>
                <w:highlight w:val="none"/>
              </w:rPr>
            </w:pPr>
            <w:r>
              <w:rPr>
                <w:rFonts w:hint="eastAsia" w:ascii="宋体" w:hAnsi="宋体" w:cstheme="minorBidi"/>
                <w:szCs w:val="21"/>
                <w:highlight w:val="none"/>
              </w:rPr>
              <w:t>□ GB/T 35770-2022/ISO 37301:2021</w:t>
            </w:r>
          </w:p>
        </w:tc>
        <w:tc>
          <w:tcPr>
            <w:tcW w:w="1984" w:type="dxa"/>
            <w:vAlign w:val="center"/>
          </w:tcPr>
          <w:p>
            <w:pPr>
              <w:spacing w:line="0" w:lineRule="atLeast"/>
              <w:jc w:val="left"/>
              <w:rPr>
                <w:rFonts w:hint="eastAsia" w:ascii="宋体" w:hAnsi="宋体" w:eastAsia="宋体" w:cstheme="minorBidi"/>
                <w:szCs w:val="21"/>
              </w:rPr>
            </w:pPr>
            <w:r>
              <w:rPr>
                <w:rFonts w:hint="eastAsia" w:ascii="宋体" w:hAnsi="宋体" w:eastAsia="宋体" w:cstheme="minorBidi"/>
                <w:szCs w:val="21"/>
              </w:rPr>
              <w:t>□初次认证                        □再认证</w:t>
            </w:r>
          </w:p>
        </w:tc>
        <w:tc>
          <w:tcPr>
            <w:tcW w:w="1559" w:type="dxa"/>
            <w:vAlign w:val="center"/>
          </w:tcPr>
          <w:p>
            <w:pPr>
              <w:spacing w:line="360" w:lineRule="auto"/>
              <w:jc w:val="left"/>
              <w:rPr>
                <w:rFonts w:ascii="宋体" w:hAnsi="宋体" w:eastAsia="宋体"/>
                <w:szCs w:val="21"/>
                <w:highlight w:val="none"/>
              </w:rPr>
            </w:pP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830" w:type="dxa"/>
            <w:vAlign w:val="center"/>
          </w:tcPr>
          <w:p>
            <w:pPr>
              <w:spacing w:line="360" w:lineRule="auto"/>
              <w:jc w:val="left"/>
              <w:rPr>
                <w:rFonts w:hint="eastAsia" w:ascii="宋体" w:hAnsi="宋体" w:eastAsia="宋体" w:cstheme="minorBidi"/>
                <w:kern w:val="2"/>
                <w:sz w:val="21"/>
                <w:szCs w:val="21"/>
                <w:lang w:val="en-US" w:eastAsia="zh-CN" w:bidi="ar-SA"/>
              </w:rPr>
            </w:pPr>
            <w:r>
              <w:rPr>
                <w:rFonts w:hint="eastAsia" w:ascii="宋体" w:hAnsi="宋体" w:eastAsia="宋体"/>
                <w:szCs w:val="21"/>
              </w:rPr>
              <w:t>能源管理体系</w:t>
            </w:r>
            <w:r>
              <w:rPr>
                <w:rFonts w:hint="eastAsia" w:ascii="宋体" w:hAnsi="宋体" w:eastAsia="宋体"/>
                <w:szCs w:val="21"/>
                <w:lang w:eastAsia="zh-CN"/>
              </w:rPr>
              <w:t>（</w:t>
            </w:r>
            <w:r>
              <w:rPr>
                <w:rFonts w:hint="eastAsia" w:ascii="宋体" w:hAnsi="宋体" w:eastAsia="宋体"/>
                <w:szCs w:val="21"/>
              </w:rPr>
              <w:t>EnMS</w:t>
            </w:r>
            <w:r>
              <w:rPr>
                <w:rFonts w:hint="eastAsia" w:ascii="宋体" w:hAnsi="宋体" w:eastAsia="宋体"/>
                <w:szCs w:val="21"/>
                <w:lang w:eastAsia="zh-CN"/>
              </w:rPr>
              <w:t>）</w:t>
            </w:r>
          </w:p>
        </w:tc>
        <w:tc>
          <w:tcPr>
            <w:tcW w:w="4395" w:type="dxa"/>
            <w:vAlign w:val="center"/>
          </w:tcPr>
          <w:p>
            <w:pPr>
              <w:spacing w:line="360" w:lineRule="auto"/>
              <w:jc w:val="left"/>
              <w:rPr>
                <w:rFonts w:hint="eastAsia" w:ascii="宋体" w:hAnsi="宋体" w:eastAsia="宋体" w:cstheme="minorBidi"/>
                <w:kern w:val="2"/>
                <w:sz w:val="21"/>
                <w:szCs w:val="21"/>
                <w:lang w:val="en-US" w:eastAsia="zh-CN" w:bidi="ar-SA"/>
              </w:rPr>
            </w:pPr>
            <w:r>
              <w:rPr>
                <w:rFonts w:hint="eastAsia" w:ascii="宋体" w:hAnsi="宋体" w:eastAsia="宋体"/>
                <w:szCs w:val="21"/>
              </w:rPr>
              <w:t>□</w:t>
            </w:r>
            <w:r>
              <w:rPr>
                <w:rFonts w:hint="eastAsia" w:ascii="宋体" w:hAnsi="宋体"/>
                <w:bCs/>
                <w:szCs w:val="21"/>
              </w:rPr>
              <w:t>GB/T23331-2020/</w:t>
            </w:r>
            <w:r>
              <w:rPr>
                <w:rFonts w:ascii="宋体" w:hAnsi="宋体"/>
                <w:szCs w:val="21"/>
              </w:rPr>
              <w:t>ISO</w:t>
            </w:r>
            <w:r>
              <w:rPr>
                <w:rFonts w:hint="eastAsia" w:ascii="宋体" w:hAnsi="宋体"/>
                <w:szCs w:val="21"/>
              </w:rPr>
              <w:t xml:space="preserve"> </w:t>
            </w:r>
            <w:r>
              <w:rPr>
                <w:rFonts w:ascii="宋体" w:hAnsi="宋体"/>
                <w:szCs w:val="21"/>
              </w:rPr>
              <w:t>50001:2018</w:t>
            </w:r>
            <w:r>
              <w:rPr>
                <w:rFonts w:ascii="宋体" w:hAnsi="宋体" w:eastAsia="宋体"/>
                <w:szCs w:val="21"/>
              </w:rPr>
              <w:t xml:space="preserve"> </w:t>
            </w:r>
          </w:p>
        </w:tc>
        <w:tc>
          <w:tcPr>
            <w:tcW w:w="1984" w:type="dxa"/>
            <w:vAlign w:val="center"/>
          </w:tcPr>
          <w:p>
            <w:pPr>
              <w:spacing w:line="0" w:lineRule="atLeast"/>
              <w:jc w:val="left"/>
              <w:rPr>
                <w:rFonts w:hint="eastAsia" w:ascii="宋体" w:hAnsi="宋体" w:eastAsia="宋体" w:cstheme="minorBidi"/>
                <w:szCs w:val="21"/>
                <w:lang w:val="en-US" w:eastAsia="zh-CN"/>
              </w:rPr>
            </w:pPr>
            <w:r>
              <w:rPr>
                <w:rFonts w:hint="eastAsia" w:ascii="宋体" w:hAnsi="宋体" w:eastAsia="宋体" w:cstheme="minorBidi"/>
                <w:szCs w:val="21"/>
              </w:rPr>
              <w:t>□初次认证         □再认证</w:t>
            </w:r>
          </w:p>
        </w:tc>
        <w:tc>
          <w:tcPr>
            <w:tcW w:w="1559" w:type="dxa"/>
            <w:vAlign w:val="center"/>
          </w:tcPr>
          <w:p>
            <w:pPr>
              <w:spacing w:line="360" w:lineRule="auto"/>
              <w:jc w:val="left"/>
              <w:rPr>
                <w:rFonts w:hint="eastAsia" w:ascii="宋体" w:hAnsi="宋体" w:eastAsia="宋体" w:cstheme="minorBidi"/>
                <w:kern w:val="2"/>
                <w:sz w:val="21"/>
                <w:szCs w:val="21"/>
                <w:lang w:val="en-US" w:eastAsia="zh-CN" w:bidi="ar-SA"/>
              </w:rPr>
            </w:pP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2830" w:type="dxa"/>
            <w:vAlign w:val="center"/>
          </w:tcPr>
          <w:p>
            <w:pPr>
              <w:spacing w:line="360" w:lineRule="auto"/>
              <w:jc w:val="left"/>
              <w:rPr>
                <w:rFonts w:hint="eastAsia" w:ascii="宋体" w:hAnsi="宋体" w:eastAsia="宋体" w:cstheme="minorBidi"/>
                <w:kern w:val="2"/>
                <w:sz w:val="21"/>
                <w:szCs w:val="21"/>
                <w:lang w:val="en-US" w:eastAsia="zh-CN" w:bidi="ar-SA"/>
              </w:rPr>
            </w:pPr>
            <w:r>
              <w:rPr>
                <w:rFonts w:hint="eastAsia" w:ascii="宋体" w:hAnsi="宋体" w:eastAsia="宋体"/>
                <w:szCs w:val="21"/>
                <w:lang w:val="en-US" w:eastAsia="zh-CN"/>
              </w:rPr>
              <w:t>设施</w:t>
            </w:r>
            <w:r>
              <w:rPr>
                <w:rFonts w:hint="eastAsia" w:ascii="宋体" w:hAnsi="宋体" w:eastAsia="宋体"/>
                <w:szCs w:val="21"/>
              </w:rPr>
              <w:t>管理体系</w:t>
            </w:r>
            <w:r>
              <w:rPr>
                <w:rFonts w:hint="eastAsia" w:ascii="宋体" w:hAnsi="宋体" w:eastAsia="宋体"/>
                <w:szCs w:val="21"/>
                <w:lang w:eastAsia="zh-CN"/>
              </w:rPr>
              <w:t>（</w:t>
            </w:r>
            <w:r>
              <w:rPr>
                <w:rFonts w:hint="eastAsia" w:ascii="宋体" w:hAnsi="宋体" w:eastAsia="宋体"/>
                <w:szCs w:val="21"/>
                <w:lang w:val="en-US" w:eastAsia="zh-CN"/>
              </w:rPr>
              <w:t>FM</w:t>
            </w:r>
            <w:r>
              <w:rPr>
                <w:rFonts w:hint="eastAsia" w:ascii="宋体" w:hAnsi="宋体" w:eastAsia="宋体"/>
                <w:szCs w:val="21"/>
                <w:lang w:eastAsia="zh-CN"/>
              </w:rPr>
              <w:t>）</w:t>
            </w:r>
          </w:p>
        </w:tc>
        <w:tc>
          <w:tcPr>
            <w:tcW w:w="4395" w:type="dxa"/>
            <w:vAlign w:val="center"/>
          </w:tcPr>
          <w:p>
            <w:pPr>
              <w:spacing w:line="360" w:lineRule="auto"/>
              <w:jc w:val="left"/>
              <w:rPr>
                <w:rFonts w:hint="eastAsia" w:ascii="宋体" w:hAnsi="宋体" w:eastAsia="宋体" w:cstheme="minorBidi"/>
                <w:kern w:val="2"/>
                <w:sz w:val="21"/>
                <w:szCs w:val="21"/>
                <w:lang w:val="en-US" w:eastAsia="zh-CN" w:bidi="ar-SA"/>
              </w:rPr>
            </w:pPr>
            <w:r>
              <w:rPr>
                <w:rFonts w:hint="eastAsia" w:ascii="宋体" w:hAnsi="宋体" w:eastAsia="宋体"/>
                <w:szCs w:val="21"/>
              </w:rPr>
              <w:t>□</w:t>
            </w:r>
            <w:r>
              <w:rPr>
                <w:rFonts w:hint="eastAsia" w:ascii="宋体" w:hAnsi="宋体" w:eastAsia="宋体"/>
                <w:szCs w:val="21"/>
                <w:lang w:val="en-US" w:eastAsia="zh-CN"/>
              </w:rPr>
              <w:t xml:space="preserve"> </w:t>
            </w:r>
            <w:r>
              <w:rPr>
                <w:rFonts w:hint="eastAsia" w:ascii="宋体" w:hAnsi="宋体"/>
                <w:bCs/>
                <w:szCs w:val="21"/>
              </w:rPr>
              <w:t>ISO 41001:2018</w:t>
            </w:r>
          </w:p>
        </w:tc>
        <w:tc>
          <w:tcPr>
            <w:tcW w:w="1984" w:type="dxa"/>
            <w:vAlign w:val="center"/>
          </w:tcPr>
          <w:p>
            <w:pPr>
              <w:spacing w:line="0" w:lineRule="atLeast"/>
              <w:jc w:val="left"/>
              <w:rPr>
                <w:rFonts w:hint="eastAsia" w:ascii="宋体" w:hAnsi="宋体" w:eastAsia="宋体" w:cstheme="minorBidi"/>
                <w:szCs w:val="21"/>
                <w:lang w:val="en-US" w:eastAsia="zh-CN"/>
              </w:rPr>
            </w:pPr>
            <w:r>
              <w:rPr>
                <w:rFonts w:hint="eastAsia" w:ascii="宋体" w:hAnsi="宋体" w:eastAsia="宋体" w:cstheme="minorBidi"/>
                <w:szCs w:val="21"/>
              </w:rPr>
              <w:t>□初次认证         □再认证</w:t>
            </w:r>
          </w:p>
        </w:tc>
        <w:tc>
          <w:tcPr>
            <w:tcW w:w="1559" w:type="dxa"/>
            <w:vAlign w:val="center"/>
          </w:tcPr>
          <w:p>
            <w:pPr>
              <w:spacing w:line="360" w:lineRule="auto"/>
              <w:jc w:val="left"/>
              <w:rPr>
                <w:rFonts w:hint="eastAsia" w:ascii="宋体" w:hAnsi="宋体" w:eastAsia="宋体" w:cstheme="minorBidi"/>
                <w:kern w:val="2"/>
                <w:sz w:val="21"/>
                <w:szCs w:val="21"/>
                <w:lang w:val="en-US" w:eastAsia="zh-CN" w:bidi="ar-SA"/>
              </w:rPr>
            </w:pP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jc w:val="center"/>
        </w:trPr>
        <w:tc>
          <w:tcPr>
            <w:tcW w:w="2830" w:type="dxa"/>
            <w:vAlign w:val="center"/>
          </w:tcPr>
          <w:p>
            <w:pPr>
              <w:spacing w:line="360" w:lineRule="auto"/>
              <w:jc w:val="left"/>
              <w:rPr>
                <w:rFonts w:hint="default" w:ascii="宋体" w:hAnsi="宋体" w:eastAsia="宋体"/>
                <w:szCs w:val="21"/>
                <w:lang w:val="en-US" w:eastAsia="zh-CN"/>
              </w:rPr>
            </w:pPr>
            <w:r>
              <w:rPr>
                <w:rFonts w:hint="eastAsia" w:ascii="宋体" w:hAnsi="宋体" w:eastAsia="宋体"/>
                <w:szCs w:val="21"/>
                <w:lang w:val="en-US" w:eastAsia="zh-CN"/>
              </w:rPr>
              <w:t>资产管理体系（</w:t>
            </w:r>
            <w:r>
              <w:rPr>
                <w:rFonts w:hint="eastAsia" w:ascii="宋体" w:hAnsi="宋体"/>
                <w:color w:val="000000"/>
                <w:szCs w:val="21"/>
              </w:rPr>
              <w:t>A</w:t>
            </w:r>
            <w:r>
              <w:rPr>
                <w:rFonts w:ascii="宋体" w:hAnsi="宋体"/>
                <w:color w:val="000000"/>
                <w:szCs w:val="21"/>
              </w:rPr>
              <w:t>MMS</w:t>
            </w:r>
            <w:r>
              <w:rPr>
                <w:rFonts w:hint="eastAsia" w:ascii="宋体" w:hAnsi="宋体" w:eastAsia="宋体"/>
                <w:szCs w:val="21"/>
                <w:lang w:val="en-US" w:eastAsia="zh-CN"/>
              </w:rPr>
              <w:t>）</w:t>
            </w:r>
          </w:p>
        </w:tc>
        <w:tc>
          <w:tcPr>
            <w:tcW w:w="4395" w:type="dxa"/>
            <w:vAlign w:val="center"/>
          </w:tcPr>
          <w:p>
            <w:pPr>
              <w:spacing w:line="360" w:lineRule="auto"/>
              <w:jc w:val="left"/>
              <w:rPr>
                <w:rFonts w:hint="eastAsia" w:ascii="宋体" w:hAnsi="宋体" w:eastAsia="宋体"/>
                <w:szCs w:val="21"/>
              </w:rPr>
            </w:pPr>
            <w:r>
              <w:rPr>
                <w:rFonts w:hint="eastAsia" w:ascii="宋体" w:hAnsi="宋体" w:eastAsia="宋体"/>
                <w:szCs w:val="21"/>
              </w:rPr>
              <w:t>□</w:t>
            </w:r>
            <w:r>
              <w:rPr>
                <w:rFonts w:hint="eastAsia" w:ascii="宋体" w:hAnsi="宋体" w:eastAsia="宋体"/>
                <w:szCs w:val="21"/>
                <w:lang w:val="en-US" w:eastAsia="zh-CN"/>
              </w:rPr>
              <w:t xml:space="preserve"> </w:t>
            </w:r>
            <w:bookmarkStart w:id="1" w:name="_Hlk93673637"/>
            <w:r>
              <w:rPr>
                <w:rFonts w:ascii="宋体" w:hAnsi="宋体"/>
                <w:color w:val="000000"/>
                <w:szCs w:val="21"/>
              </w:rPr>
              <w:t>GB/T 33173</w:t>
            </w:r>
            <w:r>
              <w:rPr>
                <w:rFonts w:hint="eastAsia" w:ascii="宋体"/>
                <w:szCs w:val="21"/>
                <w:lang w:val="de-DE"/>
              </w:rPr>
              <w:t>-</w:t>
            </w:r>
            <w:r>
              <w:rPr>
                <w:rFonts w:ascii="宋体" w:hAnsi="宋体"/>
                <w:color w:val="000000"/>
                <w:szCs w:val="21"/>
              </w:rPr>
              <w:t>2016</w:t>
            </w:r>
            <w:bookmarkEnd w:id="1"/>
          </w:p>
        </w:tc>
        <w:tc>
          <w:tcPr>
            <w:tcW w:w="1984" w:type="dxa"/>
            <w:vAlign w:val="center"/>
          </w:tcPr>
          <w:p>
            <w:pPr>
              <w:spacing w:line="0" w:lineRule="atLeast"/>
              <w:jc w:val="left"/>
              <w:rPr>
                <w:rFonts w:hint="eastAsia" w:ascii="宋体" w:hAnsi="宋体" w:eastAsia="宋体" w:cstheme="minorBidi"/>
                <w:szCs w:val="21"/>
                <w:lang w:val="en-US" w:eastAsia="zh-CN"/>
              </w:rPr>
            </w:pPr>
            <w:r>
              <w:rPr>
                <w:rFonts w:hint="eastAsia" w:ascii="宋体" w:hAnsi="宋体" w:eastAsia="宋体" w:cstheme="minorBidi"/>
                <w:szCs w:val="21"/>
              </w:rPr>
              <w:t>□初次认证         □再认证</w:t>
            </w:r>
          </w:p>
        </w:tc>
        <w:tc>
          <w:tcPr>
            <w:tcW w:w="1559" w:type="dxa"/>
            <w:vAlign w:val="center"/>
          </w:tcPr>
          <w:p>
            <w:pPr>
              <w:spacing w:line="360" w:lineRule="auto"/>
              <w:jc w:val="left"/>
              <w:rPr>
                <w:rFonts w:hint="eastAsia" w:ascii="宋体" w:hAnsi="宋体" w:eastAsia="宋体" w:cstheme="minorBidi"/>
                <w:kern w:val="2"/>
                <w:sz w:val="21"/>
                <w:szCs w:val="21"/>
                <w:lang w:val="en-US" w:eastAsia="zh-CN" w:bidi="ar-SA"/>
              </w:rPr>
            </w:pP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人</w:t>
            </w:r>
          </w:p>
        </w:tc>
      </w:tr>
    </w:tbl>
    <w:p>
      <w:pPr>
        <w:tabs>
          <w:tab w:val="left" w:pos="8400"/>
        </w:tabs>
        <w:spacing w:line="360" w:lineRule="auto"/>
        <w:ind w:left="840" w:hanging="840" w:hangingChars="350"/>
        <w:jc w:val="left"/>
        <w:rPr>
          <w:rFonts w:ascii="宋体" w:hAnsi="宋体" w:eastAsia="宋体"/>
          <w:sz w:val="24"/>
          <w:szCs w:val="24"/>
        </w:rPr>
      </w:pPr>
      <w:r>
        <w:rPr>
          <w:rFonts w:hint="eastAsia" w:ascii="宋体" w:hAnsi="宋体" w:eastAsia="宋体"/>
          <w:sz w:val="24"/>
          <w:szCs w:val="24"/>
        </w:rPr>
        <w:t>第二条 按照《中华人民共和国民法典》的相关规定，经双方平等协商，就甲方委托乙方对其管理体系认证进行的申请达成一致意见，签订本合同，双方共同遵守履行。双方确认，在签订本合同之前，已经充分知悉并了解本合同全部定义、条款之内容。</w:t>
      </w:r>
    </w:p>
    <w:p>
      <w:pPr>
        <w:tabs>
          <w:tab w:val="left" w:pos="8400"/>
        </w:tabs>
        <w:spacing w:line="360" w:lineRule="auto"/>
        <w:ind w:left="840" w:hanging="840" w:hangingChars="350"/>
        <w:jc w:val="left"/>
        <w:rPr>
          <w:rFonts w:ascii="宋体" w:hAnsi="宋体" w:eastAsia="宋体"/>
          <w:sz w:val="24"/>
          <w:szCs w:val="24"/>
        </w:rPr>
      </w:pPr>
      <w:r>
        <w:rPr>
          <w:rFonts w:hint="eastAsia" w:ascii="宋体" w:hAnsi="宋体" w:eastAsia="宋体"/>
          <w:sz w:val="24"/>
          <w:szCs w:val="24"/>
        </w:rPr>
        <w:t>第三条 甲方管理体系覆盖的产品/服务范围，认证范围内活动覆盖的场所：</w:t>
      </w:r>
      <w:bookmarkStart w:id="2" w:name="_Hlk6232578"/>
      <w:r>
        <w:rPr>
          <w:rFonts w:hint="eastAsia" w:ascii="宋体" w:hAnsi="宋体" w:eastAsia="宋体"/>
          <w:sz w:val="24"/>
          <w:szCs w:val="24"/>
        </w:rPr>
        <w:t>基于</w:t>
      </w:r>
      <w:r>
        <w:rPr>
          <w:rFonts w:ascii="宋体" w:hAnsi="宋体" w:eastAsia="宋体"/>
          <w:sz w:val="24"/>
          <w:szCs w:val="24"/>
        </w:rPr>
        <w:t>甲方向乙方提交的认证申请书</w:t>
      </w:r>
      <w:r>
        <w:rPr>
          <w:rFonts w:hint="eastAsia" w:ascii="宋体" w:hAnsi="宋体" w:eastAsia="宋体"/>
          <w:sz w:val="24"/>
          <w:szCs w:val="24"/>
        </w:rPr>
        <w:t>以及管理体系认证审核报告确认的范围</w:t>
      </w:r>
      <w:r>
        <w:rPr>
          <w:rFonts w:ascii="宋体" w:hAnsi="宋体" w:eastAsia="宋体"/>
          <w:sz w:val="24"/>
          <w:szCs w:val="24"/>
        </w:rPr>
        <w:t>，</w:t>
      </w:r>
      <w:r>
        <w:rPr>
          <w:rFonts w:hint="eastAsia" w:ascii="宋体" w:hAnsi="宋体" w:eastAsia="宋体"/>
          <w:sz w:val="24"/>
          <w:szCs w:val="24"/>
        </w:rPr>
        <w:t>最终的认证范围</w:t>
      </w:r>
      <w:r>
        <w:rPr>
          <w:rFonts w:ascii="宋体" w:hAnsi="宋体" w:eastAsia="宋体"/>
          <w:sz w:val="24"/>
          <w:szCs w:val="24"/>
        </w:rPr>
        <w:t>以乙方认证决定的书面文件为</w:t>
      </w:r>
      <w:r>
        <w:rPr>
          <w:rFonts w:hint="eastAsia" w:ascii="宋体" w:hAnsi="宋体" w:eastAsia="宋体"/>
          <w:sz w:val="24"/>
          <w:szCs w:val="24"/>
        </w:rPr>
        <w:t>准</w:t>
      </w:r>
      <w:r>
        <w:rPr>
          <w:rFonts w:ascii="宋体" w:hAnsi="宋体" w:eastAsia="宋体"/>
          <w:sz w:val="24"/>
          <w:szCs w:val="24"/>
        </w:rPr>
        <w:t>。</w:t>
      </w:r>
      <w:bookmarkEnd w:id="2"/>
    </w:p>
    <w:p>
      <w:pPr>
        <w:spacing w:line="360" w:lineRule="auto"/>
        <w:jc w:val="left"/>
        <w:rPr>
          <w:rFonts w:ascii="宋体" w:hAnsi="宋体" w:eastAsia="宋体"/>
          <w:sz w:val="24"/>
          <w:szCs w:val="24"/>
        </w:rPr>
      </w:pPr>
      <w:r>
        <w:rPr>
          <w:rFonts w:hint="eastAsia" w:ascii="宋体" w:hAnsi="宋体" w:eastAsia="宋体"/>
          <w:sz w:val="24"/>
          <w:szCs w:val="24"/>
        </w:rPr>
        <w:t>第四条 合同费用及支付方式</w:t>
      </w:r>
    </w:p>
    <w:p>
      <w:pPr>
        <w:tabs>
          <w:tab w:val="left" w:pos="284"/>
        </w:tabs>
        <w:spacing w:line="360" w:lineRule="auto"/>
        <w:jc w:val="left"/>
        <w:rPr>
          <w:rFonts w:hint="eastAsia" w:ascii="宋体" w:hAnsi="宋体" w:eastAsia="宋体"/>
          <w:sz w:val="24"/>
          <w:szCs w:val="24"/>
          <w:lang w:eastAsia="zh-CN"/>
        </w:rPr>
      </w:pPr>
      <w:r>
        <w:rPr>
          <w:rFonts w:hint="eastAsia" w:ascii="宋体" w:hAnsi="宋体" w:eastAsia="宋体"/>
          <w:sz w:val="24"/>
          <w:szCs w:val="24"/>
        </w:rPr>
        <w:t>1</w:t>
      </w:r>
      <w:r>
        <w:rPr>
          <w:rFonts w:ascii="宋体" w:hAnsi="宋体" w:eastAsia="宋体"/>
          <w:sz w:val="24"/>
          <w:szCs w:val="24"/>
        </w:rPr>
        <w:t>. 初次认证费用</w:t>
      </w:r>
      <w:r>
        <w:rPr>
          <w:rFonts w:hint="eastAsia" w:ascii="宋体" w:hAnsi="宋体" w:eastAsia="宋体"/>
          <w:sz w:val="24"/>
          <w:szCs w:val="24"/>
          <w:lang w:eastAsia="zh-CN"/>
        </w:rPr>
        <w:t>：</w:t>
      </w:r>
    </w:p>
    <w:p>
      <w:pPr>
        <w:pStyle w:val="14"/>
        <w:tabs>
          <w:tab w:val="left" w:pos="945"/>
          <w:tab w:val="center" w:pos="4779"/>
        </w:tabs>
        <w:spacing w:line="360" w:lineRule="auto"/>
        <w:ind w:left="840" w:firstLine="0" w:firstLineChars="0"/>
        <w:jc w:val="left"/>
        <w:rPr>
          <w:rFonts w:ascii="宋体" w:hAnsi="宋体" w:cstheme="minorBidi"/>
          <w:sz w:val="24"/>
          <w:highlight w:val="none"/>
        </w:rPr>
      </w:pPr>
      <w:r>
        <w:rPr>
          <w:rFonts w:hint="eastAsia" w:ascii="宋体" w:hAnsi="宋体"/>
          <w:sz w:val="24"/>
          <w:highlight w:val="none"/>
        </w:rPr>
        <w:t>¥</w:t>
      </w:r>
      <w:r>
        <w:rPr>
          <w:rFonts w:hint="eastAsia" w:ascii="宋体" w:hAnsi="宋体" w:cstheme="minorBidi"/>
          <w:sz w:val="24"/>
          <w:highlight w:val="none"/>
          <w:u w:val="single"/>
        </w:rPr>
        <w:t xml:space="preserve"> </w:t>
      </w:r>
      <w:r>
        <w:rPr>
          <w:rFonts w:ascii="宋体" w:hAnsi="宋体" w:cstheme="minorBidi"/>
          <w:sz w:val="24"/>
          <w:highlight w:val="none"/>
          <w:u w:val="single"/>
        </w:rPr>
        <w:t xml:space="preserve">           </w:t>
      </w:r>
      <w:r>
        <w:rPr>
          <w:rFonts w:hint="eastAsia" w:ascii="宋体" w:hAnsi="宋体" w:cstheme="minorBidi"/>
          <w:sz w:val="24"/>
          <w:highlight w:val="none"/>
        </w:rPr>
        <w:t>元（大写</w:t>
      </w:r>
      <w:r>
        <w:rPr>
          <w:rFonts w:hint="eastAsia" w:ascii="宋体" w:hAnsi="宋体" w:cstheme="minorBidi"/>
          <w:sz w:val="24"/>
          <w:highlight w:val="none"/>
          <w:u w:val="single"/>
        </w:rPr>
        <w:t xml:space="preserve"> </w:t>
      </w:r>
      <w:r>
        <w:rPr>
          <w:rFonts w:ascii="宋体" w:hAnsi="宋体" w:cstheme="minorBidi"/>
          <w:sz w:val="24"/>
          <w:highlight w:val="none"/>
          <w:u w:val="single"/>
        </w:rPr>
        <w:t xml:space="preserve">             </w:t>
      </w:r>
      <w:r>
        <w:rPr>
          <w:rFonts w:hint="eastAsia" w:ascii="宋体" w:hAnsi="宋体" w:cstheme="minorBidi"/>
          <w:sz w:val="24"/>
          <w:highlight w:val="none"/>
        </w:rPr>
        <w:t>元整）</w:t>
      </w:r>
    </w:p>
    <w:p>
      <w:pPr>
        <w:tabs>
          <w:tab w:val="left" w:pos="284"/>
        </w:tabs>
        <w:spacing w:line="360" w:lineRule="auto"/>
        <w:jc w:val="left"/>
        <w:rPr>
          <w:rFonts w:hint="eastAsia" w:ascii="宋体" w:hAnsi="宋体" w:eastAsia="宋体"/>
          <w:sz w:val="24"/>
          <w:szCs w:val="24"/>
          <w:highlight w:val="none"/>
          <w:lang w:eastAsia="zh-CN"/>
        </w:rPr>
      </w:pPr>
      <w:r>
        <w:rPr>
          <w:rFonts w:ascii="宋体" w:hAnsi="宋体" w:eastAsia="宋体"/>
          <w:sz w:val="24"/>
          <w:szCs w:val="24"/>
          <w:highlight w:val="none"/>
        </w:rPr>
        <w:t xml:space="preserve">2. </w:t>
      </w:r>
      <w:r>
        <w:rPr>
          <w:rFonts w:hint="eastAsia" w:ascii="宋体" w:hAnsi="宋体" w:eastAsia="宋体"/>
          <w:sz w:val="24"/>
          <w:szCs w:val="24"/>
          <w:highlight w:val="none"/>
        </w:rPr>
        <w:t>监督审核费用/次</w:t>
      </w:r>
      <w:r>
        <w:rPr>
          <w:rFonts w:hint="eastAsia" w:ascii="宋体" w:hAnsi="宋体" w:eastAsia="宋体"/>
          <w:sz w:val="24"/>
          <w:szCs w:val="24"/>
          <w:highlight w:val="none"/>
          <w:lang w:eastAsia="zh-CN"/>
        </w:rPr>
        <w:t>：</w:t>
      </w:r>
    </w:p>
    <w:p>
      <w:pPr>
        <w:pStyle w:val="14"/>
        <w:tabs>
          <w:tab w:val="left" w:pos="945"/>
          <w:tab w:val="center" w:pos="4779"/>
        </w:tabs>
        <w:spacing w:line="360" w:lineRule="auto"/>
        <w:ind w:left="840" w:firstLine="0" w:firstLineChars="0"/>
        <w:jc w:val="left"/>
        <w:rPr>
          <w:rFonts w:ascii="宋体" w:hAnsi="宋体" w:cstheme="minorBidi"/>
          <w:sz w:val="24"/>
          <w:highlight w:val="none"/>
        </w:rPr>
      </w:pPr>
      <w:r>
        <w:rPr>
          <w:rFonts w:hint="eastAsia" w:ascii="宋体" w:hAnsi="宋体"/>
          <w:sz w:val="24"/>
          <w:highlight w:val="none"/>
        </w:rPr>
        <w:t>¥</w:t>
      </w:r>
      <w:r>
        <w:rPr>
          <w:rFonts w:hint="eastAsia" w:ascii="宋体" w:hAnsi="宋体" w:cstheme="minorBidi"/>
          <w:sz w:val="24"/>
          <w:highlight w:val="none"/>
          <w:u w:val="single"/>
        </w:rPr>
        <w:t xml:space="preserve"> </w:t>
      </w:r>
      <w:r>
        <w:rPr>
          <w:rFonts w:ascii="宋体" w:hAnsi="宋体" w:cstheme="minorBidi"/>
          <w:sz w:val="24"/>
          <w:highlight w:val="none"/>
          <w:u w:val="single"/>
        </w:rPr>
        <w:t xml:space="preserve">           </w:t>
      </w:r>
      <w:r>
        <w:rPr>
          <w:rFonts w:hint="eastAsia" w:ascii="宋体" w:hAnsi="宋体" w:cstheme="minorBidi"/>
          <w:sz w:val="24"/>
          <w:highlight w:val="none"/>
        </w:rPr>
        <w:t>元（大写</w:t>
      </w:r>
      <w:r>
        <w:rPr>
          <w:rFonts w:hint="eastAsia" w:ascii="宋体" w:hAnsi="宋体" w:cstheme="minorBidi"/>
          <w:sz w:val="24"/>
          <w:highlight w:val="none"/>
          <w:u w:val="single"/>
        </w:rPr>
        <w:t xml:space="preserve"> </w:t>
      </w:r>
      <w:r>
        <w:rPr>
          <w:rFonts w:ascii="宋体" w:hAnsi="宋体" w:cstheme="minorBidi"/>
          <w:sz w:val="24"/>
          <w:highlight w:val="none"/>
          <w:u w:val="single"/>
        </w:rPr>
        <w:t xml:space="preserve">             </w:t>
      </w:r>
      <w:r>
        <w:rPr>
          <w:rFonts w:hint="eastAsia" w:ascii="宋体" w:hAnsi="宋体" w:cstheme="minorBidi"/>
          <w:sz w:val="24"/>
          <w:highlight w:val="none"/>
        </w:rPr>
        <w:t>元整）</w:t>
      </w:r>
    </w:p>
    <w:p>
      <w:pPr>
        <w:spacing w:line="360" w:lineRule="auto"/>
        <w:jc w:val="left"/>
        <w:rPr>
          <w:rFonts w:hint="eastAsia" w:ascii="宋体" w:hAnsi="宋体" w:eastAsia="宋体"/>
          <w:sz w:val="24"/>
          <w:szCs w:val="24"/>
          <w:highlight w:val="none"/>
          <w:lang w:eastAsia="zh-CN"/>
        </w:rPr>
      </w:pPr>
      <w:r>
        <w:rPr>
          <w:rFonts w:hint="eastAsia" w:ascii="宋体" w:hAnsi="宋体" w:eastAsia="宋体"/>
          <w:sz w:val="24"/>
          <w:szCs w:val="24"/>
          <w:highlight w:val="none"/>
        </w:rPr>
        <w:t>3</w:t>
      </w:r>
      <w:r>
        <w:rPr>
          <w:rFonts w:ascii="宋体" w:hAnsi="宋体" w:eastAsia="宋体"/>
          <w:sz w:val="24"/>
          <w:szCs w:val="24"/>
          <w:highlight w:val="none"/>
        </w:rPr>
        <w:t>. 再认证费用</w:t>
      </w:r>
      <w:r>
        <w:rPr>
          <w:rFonts w:hint="eastAsia" w:ascii="宋体" w:hAnsi="宋体" w:eastAsia="宋体"/>
          <w:sz w:val="24"/>
          <w:szCs w:val="24"/>
          <w:highlight w:val="none"/>
          <w:lang w:eastAsia="zh-CN"/>
        </w:rPr>
        <w:t>：</w:t>
      </w:r>
    </w:p>
    <w:p>
      <w:pPr>
        <w:pStyle w:val="14"/>
        <w:tabs>
          <w:tab w:val="left" w:pos="945"/>
          <w:tab w:val="center" w:pos="4779"/>
        </w:tabs>
        <w:spacing w:line="360" w:lineRule="auto"/>
        <w:ind w:left="840" w:firstLine="0" w:firstLineChars="0"/>
        <w:jc w:val="left"/>
        <w:rPr>
          <w:rFonts w:ascii="宋体" w:hAnsi="宋体" w:cstheme="minorBidi"/>
          <w:sz w:val="24"/>
          <w:highlight w:val="none"/>
        </w:rPr>
      </w:pPr>
      <w:r>
        <w:rPr>
          <w:rFonts w:hint="eastAsia" w:ascii="宋体" w:hAnsi="宋体"/>
          <w:sz w:val="24"/>
          <w:highlight w:val="none"/>
        </w:rPr>
        <w:t>¥</w:t>
      </w:r>
      <w:r>
        <w:rPr>
          <w:rFonts w:hint="eastAsia" w:ascii="宋体" w:hAnsi="宋体" w:cstheme="minorBidi"/>
          <w:sz w:val="24"/>
          <w:highlight w:val="none"/>
          <w:u w:val="single"/>
        </w:rPr>
        <w:t xml:space="preserve"> </w:t>
      </w:r>
      <w:r>
        <w:rPr>
          <w:rFonts w:ascii="宋体" w:hAnsi="宋体" w:cstheme="minorBidi"/>
          <w:sz w:val="24"/>
          <w:highlight w:val="none"/>
          <w:u w:val="single"/>
        </w:rPr>
        <w:t xml:space="preserve">           </w:t>
      </w:r>
      <w:r>
        <w:rPr>
          <w:rFonts w:hint="eastAsia" w:ascii="宋体" w:hAnsi="宋体" w:cstheme="minorBidi"/>
          <w:sz w:val="24"/>
          <w:highlight w:val="none"/>
        </w:rPr>
        <w:t>元（大写</w:t>
      </w:r>
      <w:r>
        <w:rPr>
          <w:rFonts w:hint="eastAsia" w:ascii="宋体" w:hAnsi="宋体" w:cstheme="minorBidi"/>
          <w:sz w:val="24"/>
          <w:highlight w:val="none"/>
          <w:u w:val="single"/>
        </w:rPr>
        <w:t xml:space="preserve"> </w:t>
      </w:r>
      <w:r>
        <w:rPr>
          <w:rFonts w:ascii="宋体" w:hAnsi="宋体" w:cstheme="minorBidi"/>
          <w:sz w:val="24"/>
          <w:highlight w:val="none"/>
          <w:u w:val="single"/>
        </w:rPr>
        <w:t xml:space="preserve">             </w:t>
      </w:r>
      <w:r>
        <w:rPr>
          <w:rFonts w:hint="eastAsia" w:ascii="宋体" w:hAnsi="宋体" w:cstheme="minorBidi"/>
          <w:sz w:val="24"/>
          <w:highlight w:val="none"/>
        </w:rPr>
        <w:t>元整）</w:t>
      </w:r>
    </w:p>
    <w:p>
      <w:pPr>
        <w:spacing w:line="360" w:lineRule="auto"/>
        <w:ind w:left="424" w:leftChars="202" w:firstLine="518" w:firstLineChars="216"/>
        <w:rPr>
          <w:rFonts w:ascii="宋体" w:hAnsi="宋体" w:eastAsia="宋体"/>
          <w:sz w:val="24"/>
          <w:szCs w:val="24"/>
        </w:rPr>
      </w:pPr>
      <w:r>
        <w:rPr>
          <w:rFonts w:hint="eastAsia" w:ascii="宋体" w:hAnsi="宋体" w:eastAsia="宋体"/>
          <w:sz w:val="24"/>
          <w:szCs w:val="24"/>
        </w:rPr>
        <w:t>注1：认证证书有效期为三年，乙方将接受两次定期监督审核及必要的不定期</w:t>
      </w:r>
      <w:r>
        <w:rPr>
          <w:rFonts w:hint="eastAsia" w:ascii="宋体" w:hAnsi="宋体" w:eastAsia="宋体"/>
          <w:sz w:val="24"/>
          <w:szCs w:val="24"/>
          <w:lang w:val="en-US" w:eastAsia="zh-CN"/>
        </w:rPr>
        <w:t>审核</w:t>
      </w:r>
      <w:r>
        <w:rPr>
          <w:rFonts w:hint="eastAsia" w:ascii="宋体" w:hAnsi="宋体" w:eastAsia="宋体"/>
          <w:sz w:val="24"/>
          <w:szCs w:val="24"/>
        </w:rPr>
        <w:t>；按照认可准则要求，在初次认证决定后12个月内应进行一次监督审核，此后，每次监督审核的时间间隔不超过12个月。有异常情况时乙方可以酌情增加监督审核的频次。</w:t>
      </w:r>
    </w:p>
    <w:p>
      <w:pPr>
        <w:pStyle w:val="14"/>
        <w:tabs>
          <w:tab w:val="left" w:pos="284"/>
        </w:tabs>
        <w:spacing w:line="360" w:lineRule="auto"/>
        <w:ind w:left="420" w:leftChars="200" w:firstLine="480" w:firstLineChars="200"/>
        <w:jc w:val="left"/>
        <w:rPr>
          <w:rFonts w:hint="eastAsia" w:ascii="宋体" w:hAnsi="宋体" w:eastAsia="宋体"/>
          <w:sz w:val="24"/>
          <w:highlight w:val="yellow"/>
          <w:lang w:val="en-US" w:eastAsia="zh-CN"/>
        </w:rPr>
      </w:pPr>
      <w:r>
        <w:rPr>
          <w:rFonts w:ascii="宋体" w:hAnsi="宋体" w:cstheme="minorBidi"/>
          <w:sz w:val="24"/>
        </w:rPr>
        <w:t>注</w:t>
      </w:r>
      <w:r>
        <w:rPr>
          <w:rFonts w:hint="eastAsia" w:ascii="宋体" w:hAnsi="宋体" w:cstheme="minorBidi"/>
          <w:sz w:val="24"/>
        </w:rPr>
        <w:t>2</w:t>
      </w:r>
      <w:r>
        <w:rPr>
          <w:rFonts w:ascii="宋体" w:hAnsi="宋体" w:cstheme="minorBidi"/>
          <w:sz w:val="24"/>
        </w:rPr>
        <w:t>：</w:t>
      </w:r>
      <w:r>
        <w:rPr>
          <w:rFonts w:hint="eastAsia" w:ascii="宋体" w:hAnsi="宋体" w:cstheme="minorBidi"/>
          <w:sz w:val="24"/>
        </w:rPr>
        <w:t>加印证书费用：每张￥</w:t>
      </w:r>
      <w:r>
        <w:rPr>
          <w:rFonts w:ascii="宋体" w:hAnsi="宋体" w:cstheme="minorBidi"/>
          <w:sz w:val="24"/>
        </w:rPr>
        <w:t>5</w:t>
      </w:r>
      <w:r>
        <w:rPr>
          <w:rFonts w:hint="eastAsia" w:ascii="宋体" w:hAnsi="宋体" w:cstheme="minorBidi"/>
          <w:sz w:val="24"/>
        </w:rPr>
        <w:t>0元</w:t>
      </w:r>
      <w:r>
        <w:rPr>
          <w:rFonts w:hint="eastAsia" w:ascii="宋体" w:hAnsi="宋体" w:cstheme="minorBidi"/>
          <w:sz w:val="24"/>
          <w:lang w:eastAsia="zh-CN"/>
        </w:rPr>
        <w:t>（</w:t>
      </w:r>
      <w:r>
        <w:rPr>
          <w:rFonts w:hint="eastAsia" w:ascii="宋体" w:hAnsi="宋体" w:cstheme="minorBidi"/>
          <w:sz w:val="24"/>
          <w:lang w:val="en-US" w:eastAsia="zh-CN"/>
        </w:rPr>
        <w:t>如证书有效期内因证书内容变更需换发证书的，按</w:t>
      </w:r>
      <w:r>
        <w:rPr>
          <w:rFonts w:hint="eastAsia" w:ascii="宋体" w:hAnsi="宋体" w:cstheme="minorBidi"/>
          <w:sz w:val="24"/>
        </w:rPr>
        <w:t>加印证书费用</w:t>
      </w:r>
      <w:r>
        <w:rPr>
          <w:rFonts w:hint="eastAsia" w:ascii="宋体" w:hAnsi="宋体" w:cstheme="minorBidi"/>
          <w:sz w:val="24"/>
          <w:lang w:val="en-US" w:eastAsia="zh-CN"/>
        </w:rPr>
        <w:t>标准收取换证费</w:t>
      </w:r>
      <w:r>
        <w:rPr>
          <w:rFonts w:hint="eastAsia" w:ascii="宋体" w:hAnsi="宋体" w:cstheme="minorBidi"/>
          <w:sz w:val="24"/>
          <w:lang w:eastAsia="zh-CN"/>
        </w:rPr>
        <w:t>）</w:t>
      </w:r>
      <w:r>
        <w:rPr>
          <w:rFonts w:hint="eastAsia" w:ascii="宋体" w:hAnsi="宋体" w:cstheme="minorBidi"/>
          <w:sz w:val="24"/>
        </w:rPr>
        <w:t>。</w:t>
      </w:r>
      <w:bookmarkStart w:id="4" w:name="_GoBack"/>
      <w:bookmarkEnd w:id="4"/>
    </w:p>
    <w:p>
      <w:pPr>
        <w:pStyle w:val="14"/>
        <w:tabs>
          <w:tab w:val="left" w:pos="284"/>
        </w:tabs>
        <w:spacing w:line="360" w:lineRule="auto"/>
        <w:ind w:firstLine="0" w:firstLineChars="0"/>
        <w:jc w:val="left"/>
        <w:rPr>
          <w:rFonts w:ascii="宋体" w:hAnsi="宋体"/>
          <w:sz w:val="24"/>
        </w:rPr>
      </w:pPr>
      <w:r>
        <w:rPr>
          <w:rFonts w:hint="eastAsia" w:ascii="宋体" w:hAnsi="宋体"/>
          <w:sz w:val="24"/>
        </w:rPr>
        <w:t>4</w:t>
      </w:r>
      <w:r>
        <w:rPr>
          <w:rFonts w:ascii="宋体" w:hAnsi="宋体"/>
          <w:sz w:val="24"/>
        </w:rPr>
        <w:t xml:space="preserve">. </w:t>
      </w:r>
      <w:r>
        <w:rPr>
          <w:rFonts w:hint="eastAsia" w:ascii="宋体" w:hAnsi="宋体"/>
          <w:sz w:val="24"/>
        </w:rPr>
        <w:t>证书英文委托翻译费</w:t>
      </w:r>
      <w:r>
        <w:rPr>
          <w:rFonts w:ascii="宋体" w:hAnsi="宋体"/>
          <w:sz w:val="24"/>
        </w:rPr>
        <w:t>200.00</w:t>
      </w:r>
      <w:r>
        <w:rPr>
          <w:rFonts w:hint="eastAsia" w:ascii="宋体" w:hAnsi="宋体"/>
          <w:sz w:val="24"/>
        </w:rPr>
        <w:t>元/体系。</w:t>
      </w:r>
    </w:p>
    <w:p>
      <w:pPr>
        <w:tabs>
          <w:tab w:val="left" w:pos="284"/>
        </w:tabs>
        <w:spacing w:line="360" w:lineRule="auto"/>
        <w:jc w:val="left"/>
        <w:rPr>
          <w:rFonts w:ascii="宋体" w:hAnsi="宋体" w:eastAsia="宋体" w:cs="Times New Roman"/>
          <w:sz w:val="24"/>
          <w:szCs w:val="24"/>
        </w:rPr>
      </w:pPr>
      <w:r>
        <w:rPr>
          <w:rFonts w:ascii="宋体" w:hAnsi="宋体" w:eastAsia="宋体" w:cs="Times New Roman"/>
          <w:sz w:val="24"/>
          <w:szCs w:val="24"/>
        </w:rPr>
        <w:t xml:space="preserve">5. </w:t>
      </w:r>
      <w:r>
        <w:rPr>
          <w:rFonts w:hint="eastAsia" w:ascii="宋体" w:hAnsi="宋体" w:eastAsia="宋体" w:cs="Times New Roman"/>
          <w:sz w:val="24"/>
          <w:szCs w:val="24"/>
        </w:rPr>
        <w:t>每次现场审核</w:t>
      </w:r>
      <w:r>
        <w:rPr>
          <w:rFonts w:ascii="宋体" w:hAnsi="宋体" w:eastAsia="宋体" w:cs="Times New Roman"/>
          <w:sz w:val="24"/>
          <w:szCs w:val="24"/>
        </w:rPr>
        <w:t>时，由甲方承担乙方派出</w:t>
      </w:r>
      <w:r>
        <w:rPr>
          <w:rFonts w:hint="eastAsia" w:ascii="宋体" w:hAnsi="宋体" w:eastAsia="宋体" w:cs="Times New Roman"/>
          <w:sz w:val="24"/>
          <w:szCs w:val="24"/>
        </w:rPr>
        <w:t>的审核</w:t>
      </w:r>
      <w:r>
        <w:rPr>
          <w:rFonts w:ascii="宋体" w:hAnsi="宋体" w:eastAsia="宋体" w:cs="Times New Roman"/>
          <w:sz w:val="24"/>
          <w:szCs w:val="24"/>
        </w:rPr>
        <w:t>组成员的食、宿及往返交通费。</w:t>
      </w:r>
    </w:p>
    <w:p>
      <w:pPr>
        <w:tabs>
          <w:tab w:val="left" w:pos="284"/>
        </w:tabs>
        <w:spacing w:line="360" w:lineRule="auto"/>
        <w:jc w:val="left"/>
        <w:rPr>
          <w:rFonts w:ascii="宋体" w:hAnsi="宋体" w:eastAsia="宋体" w:cs="Times New Roman"/>
          <w:sz w:val="24"/>
          <w:szCs w:val="24"/>
          <w:highlight w:val="none"/>
        </w:rPr>
      </w:pPr>
      <w:r>
        <w:rPr>
          <w:rFonts w:ascii="宋体" w:hAnsi="宋体" w:eastAsia="宋体" w:cs="Times New Roman"/>
          <w:sz w:val="24"/>
          <w:szCs w:val="24"/>
          <w:highlight w:val="none"/>
        </w:rPr>
        <w:t xml:space="preserve">6. </w:t>
      </w:r>
      <w:r>
        <w:rPr>
          <w:rFonts w:hint="eastAsia" w:ascii="宋体" w:hAnsi="宋体" w:eastAsia="宋体" w:cs="Times New Roman"/>
          <w:sz w:val="24"/>
          <w:szCs w:val="24"/>
          <w:highlight w:val="none"/>
        </w:rPr>
        <w:t>初次认证/再认证费用的付款</w:t>
      </w:r>
      <w:r>
        <w:rPr>
          <w:rFonts w:hint="eastAsia" w:ascii="宋体" w:hAnsi="宋体" w:eastAsia="宋体" w:cs="Times New Roman"/>
          <w:sz w:val="24"/>
          <w:szCs w:val="24"/>
          <w:highlight w:val="none"/>
          <w:lang w:val="en-US" w:eastAsia="zh-CN"/>
        </w:rPr>
        <w:t>时间应为</w:t>
      </w:r>
      <w:r>
        <w:rPr>
          <w:rFonts w:hint="eastAsia" w:ascii="宋体" w:hAnsi="宋体" w:eastAsia="宋体" w:cs="Times New Roman"/>
          <w:sz w:val="24"/>
          <w:szCs w:val="24"/>
          <w:highlight w:val="none"/>
        </w:rPr>
        <w:t>合同签订后</w:t>
      </w:r>
      <w:r>
        <w:rPr>
          <w:rFonts w:hint="eastAsia" w:ascii="宋体" w:hAnsi="宋体" w:eastAsia="宋体" w:cs="Times New Roman"/>
          <w:sz w:val="24"/>
          <w:szCs w:val="24"/>
          <w:highlight w:val="none"/>
          <w:lang w:val="en-US" w:eastAsia="zh-CN"/>
        </w:rPr>
        <w:t>的7日内一次性交纳；</w:t>
      </w:r>
      <w:r>
        <w:rPr>
          <w:rFonts w:hint="eastAsia" w:ascii="宋体" w:hAnsi="宋体" w:eastAsia="宋体" w:cs="Times New Roman"/>
          <w:sz w:val="24"/>
          <w:szCs w:val="24"/>
          <w:highlight w:val="none"/>
        </w:rPr>
        <w:t>监督</w:t>
      </w:r>
      <w:r>
        <w:rPr>
          <w:rFonts w:hint="eastAsia" w:ascii="宋体" w:hAnsi="宋体" w:eastAsia="宋体" w:cs="Times New Roman"/>
          <w:sz w:val="24"/>
          <w:szCs w:val="24"/>
          <w:highlight w:val="none"/>
          <w:lang w:val="en-US" w:eastAsia="zh-CN"/>
        </w:rPr>
        <w:t>审核</w:t>
      </w:r>
      <w:r>
        <w:rPr>
          <w:rFonts w:hint="eastAsia" w:ascii="宋体" w:hAnsi="宋体" w:eastAsia="宋体" w:cs="Times New Roman"/>
          <w:sz w:val="24"/>
          <w:szCs w:val="24"/>
          <w:highlight w:val="none"/>
        </w:rPr>
        <w:t>费用</w:t>
      </w:r>
      <w:r>
        <w:rPr>
          <w:rFonts w:hint="eastAsia" w:ascii="宋体" w:hAnsi="宋体" w:eastAsia="宋体" w:cs="Times New Roman"/>
          <w:sz w:val="24"/>
          <w:szCs w:val="24"/>
          <w:highlight w:val="none"/>
          <w:lang w:val="en-US" w:eastAsia="zh-CN"/>
        </w:rPr>
        <w:t>的支付时间至少在监督审核到期时间（见上文注1）前40个工作日内；若</w:t>
      </w:r>
      <w:r>
        <w:rPr>
          <w:rFonts w:hint="eastAsia" w:ascii="宋体" w:hAnsi="宋体" w:eastAsia="宋体" w:cs="Times New Roman"/>
          <w:sz w:val="24"/>
          <w:szCs w:val="24"/>
          <w:highlight w:val="none"/>
        </w:rPr>
        <w:t>未能按时交足</w:t>
      </w:r>
      <w:r>
        <w:rPr>
          <w:rFonts w:hint="eastAsia" w:ascii="宋体" w:hAnsi="宋体" w:eastAsia="宋体" w:cs="Times New Roman"/>
          <w:sz w:val="24"/>
          <w:szCs w:val="24"/>
          <w:highlight w:val="none"/>
          <w:lang w:val="en-US" w:eastAsia="zh-CN"/>
        </w:rPr>
        <w:t>本次</w:t>
      </w:r>
      <w:r>
        <w:rPr>
          <w:rFonts w:hint="eastAsia" w:ascii="宋体" w:hAnsi="宋体" w:eastAsia="宋体" w:cs="Times New Roman"/>
          <w:sz w:val="24"/>
          <w:szCs w:val="24"/>
          <w:highlight w:val="none"/>
        </w:rPr>
        <w:t>监督审核费用，乙方有权暂停或撤销甲方的相关认证注册资格，已收到的认证费用及监督审核费用不予退还。</w:t>
      </w:r>
    </w:p>
    <w:p>
      <w:pPr>
        <w:tabs>
          <w:tab w:val="left" w:pos="567"/>
        </w:tabs>
        <w:spacing w:line="360" w:lineRule="auto"/>
        <w:jc w:val="left"/>
        <w:rPr>
          <w:rFonts w:ascii="宋体" w:hAnsi="宋体" w:eastAsia="宋体" w:cs="Times New Roman"/>
          <w:sz w:val="24"/>
          <w:szCs w:val="24"/>
        </w:rPr>
      </w:pPr>
      <w:r>
        <w:rPr>
          <w:rFonts w:hint="eastAsia" w:ascii="宋体" w:hAnsi="宋体" w:eastAsia="宋体" w:cs="Times New Roman"/>
          <w:sz w:val="24"/>
          <w:szCs w:val="24"/>
          <w:lang w:val="en-US" w:eastAsia="zh-CN"/>
        </w:rPr>
        <w:t>7</w:t>
      </w:r>
      <w:r>
        <w:rPr>
          <w:rFonts w:ascii="宋体" w:hAnsi="宋体" w:eastAsia="宋体" w:cs="Times New Roman"/>
          <w:sz w:val="24"/>
          <w:szCs w:val="24"/>
        </w:rPr>
        <w:t xml:space="preserve">. </w:t>
      </w:r>
      <w:r>
        <w:rPr>
          <w:rFonts w:hint="eastAsia" w:ascii="宋体" w:hAnsi="宋体" w:eastAsia="宋体" w:cs="Times New Roman"/>
          <w:sz w:val="24"/>
          <w:szCs w:val="24"/>
        </w:rPr>
        <w:t>当甲方的产品在国家监督抽查中被查出不合格时，乙方对甲方实施监督审核（监督审核将在国家质检总局发布公告起30日内完成），甲方按本合同支付给乙方监督审核费用；当甲方因发生严重投诉、严重事故、严重不合格、范围变更、经营地址变更、标准换版等情况，乙方须向甲方追加现场审核时，乙方将向甲方收取追加现场审核所发生的费用，由此导致的费用增加，由</w:t>
      </w:r>
      <w:r>
        <w:rPr>
          <w:rFonts w:ascii="宋体" w:hAnsi="宋体" w:eastAsia="宋体" w:cs="Times New Roman"/>
          <w:sz w:val="24"/>
          <w:szCs w:val="24"/>
        </w:rPr>
        <w:t>甲方</w:t>
      </w:r>
      <w:r>
        <w:rPr>
          <w:rFonts w:hint="eastAsia" w:ascii="宋体" w:hAnsi="宋体" w:eastAsia="宋体" w:cs="Times New Roman"/>
          <w:sz w:val="24"/>
          <w:szCs w:val="24"/>
        </w:rPr>
        <w:t>承担。</w:t>
      </w:r>
    </w:p>
    <w:p>
      <w:pPr>
        <w:spacing w:line="360" w:lineRule="auto"/>
        <w:jc w:val="left"/>
        <w:rPr>
          <w:rFonts w:ascii="宋体" w:hAnsi="宋体" w:eastAsia="宋体"/>
          <w:b/>
          <w:bCs/>
          <w:sz w:val="24"/>
          <w:szCs w:val="24"/>
        </w:rPr>
      </w:pPr>
      <w:r>
        <w:rPr>
          <w:rFonts w:hint="eastAsia" w:ascii="宋体" w:hAnsi="宋体" w:eastAsia="宋体"/>
          <w:b/>
          <w:bCs/>
          <w:sz w:val="24"/>
          <w:szCs w:val="24"/>
        </w:rPr>
        <w:t>第五条 甲方权利和义务</w:t>
      </w:r>
    </w:p>
    <w:p>
      <w:pPr>
        <w:numPr>
          <w:ilvl w:val="0"/>
          <w:numId w:val="1"/>
        </w:numPr>
        <w:tabs>
          <w:tab w:val="left" w:pos="426"/>
        </w:tabs>
        <w:spacing w:line="360" w:lineRule="auto"/>
        <w:ind w:hangingChars="177"/>
        <w:jc w:val="left"/>
        <w:rPr>
          <w:rFonts w:ascii="宋体" w:hAnsi="宋体" w:eastAsia="宋体"/>
          <w:sz w:val="24"/>
          <w:szCs w:val="24"/>
        </w:rPr>
      </w:pPr>
      <w:r>
        <w:rPr>
          <w:rFonts w:hint="eastAsia" w:ascii="宋体" w:hAnsi="宋体" w:eastAsia="宋体"/>
          <w:sz w:val="24"/>
          <w:szCs w:val="24"/>
        </w:rPr>
        <w:t>甲方承诺具备相关法定资质/资格。</w:t>
      </w:r>
    </w:p>
    <w:p>
      <w:pPr>
        <w:numPr>
          <w:ilvl w:val="0"/>
          <w:numId w:val="1"/>
        </w:numPr>
        <w:tabs>
          <w:tab w:val="left" w:pos="426"/>
        </w:tabs>
        <w:spacing w:line="360" w:lineRule="auto"/>
        <w:ind w:hangingChars="177"/>
        <w:jc w:val="left"/>
        <w:rPr>
          <w:rFonts w:ascii="宋体" w:hAnsi="宋体" w:eastAsia="宋体"/>
          <w:sz w:val="24"/>
          <w:szCs w:val="24"/>
        </w:rPr>
      </w:pPr>
      <w:r>
        <w:rPr>
          <w:rFonts w:hint="eastAsia" w:ascii="宋体" w:hAnsi="宋体" w:eastAsia="宋体"/>
          <w:sz w:val="24"/>
          <w:szCs w:val="24"/>
        </w:rPr>
        <w:t>甲方承诺获得认证后持续有效运行管理体系。</w:t>
      </w:r>
    </w:p>
    <w:p>
      <w:pPr>
        <w:numPr>
          <w:ilvl w:val="0"/>
          <w:numId w:val="1"/>
        </w:numPr>
        <w:tabs>
          <w:tab w:val="left" w:pos="426"/>
        </w:tabs>
        <w:spacing w:line="360" w:lineRule="auto"/>
        <w:ind w:hangingChars="177"/>
        <w:jc w:val="left"/>
        <w:rPr>
          <w:rFonts w:ascii="宋体" w:hAnsi="宋体" w:eastAsia="宋体"/>
          <w:sz w:val="24"/>
          <w:szCs w:val="24"/>
        </w:rPr>
      </w:pPr>
      <w:r>
        <w:rPr>
          <w:rFonts w:hint="eastAsia" w:ascii="宋体" w:hAnsi="宋体" w:eastAsia="宋体"/>
          <w:sz w:val="24"/>
          <w:szCs w:val="24"/>
        </w:rPr>
        <w:t>甲方应当保证所提供的文件资料是真实/准确/完整的，不存在任何虚假记载/误导性陈述或重大遗漏</w:t>
      </w:r>
      <w:r>
        <w:rPr>
          <w:rFonts w:hint="eastAsia" w:ascii="宋体" w:hAnsi="宋体" w:eastAsia="宋体"/>
          <w:sz w:val="24"/>
          <w:szCs w:val="24"/>
          <w:highlight w:val="none"/>
          <w:lang w:eastAsia="zh-CN"/>
        </w:rPr>
        <w:t>，</w:t>
      </w:r>
      <w:r>
        <w:rPr>
          <w:rFonts w:hint="eastAsia" w:ascii="宋体" w:hAnsi="宋体" w:eastAsia="宋体"/>
          <w:sz w:val="24"/>
          <w:szCs w:val="24"/>
          <w:highlight w:val="none"/>
          <w:lang w:val="en-US" w:eastAsia="zh-CN"/>
        </w:rPr>
        <w:t>由此导致的一切法律后果（包含暂停/撤销证书注册资格）由甲方自行承担</w:t>
      </w:r>
      <w:r>
        <w:rPr>
          <w:rFonts w:hint="eastAsia" w:ascii="宋体" w:hAnsi="宋体" w:eastAsia="宋体"/>
          <w:sz w:val="24"/>
          <w:szCs w:val="24"/>
          <w:highlight w:val="none"/>
        </w:rPr>
        <w:t>。</w:t>
      </w:r>
    </w:p>
    <w:p>
      <w:pPr>
        <w:numPr>
          <w:ilvl w:val="0"/>
          <w:numId w:val="1"/>
        </w:numPr>
        <w:tabs>
          <w:tab w:val="left" w:pos="426"/>
        </w:tabs>
        <w:spacing w:line="360" w:lineRule="auto"/>
        <w:ind w:hangingChars="177"/>
        <w:jc w:val="left"/>
        <w:rPr>
          <w:rFonts w:ascii="宋体" w:hAnsi="宋体" w:eastAsia="宋体"/>
          <w:sz w:val="24"/>
          <w:szCs w:val="24"/>
        </w:rPr>
      </w:pPr>
      <w:r>
        <w:rPr>
          <w:rFonts w:hint="eastAsia" w:ascii="宋体" w:hAnsi="宋体" w:eastAsia="宋体"/>
          <w:sz w:val="24"/>
          <w:szCs w:val="24"/>
        </w:rPr>
        <w:t>建立覆盖认证范围，符合审核依据标准的管理体系并充分运行；甲方应承诺提供的有关证据和记录是真实的，一旦有证据表明甲方提供不真实的证据或记录，乙方有权随时撤销已颁发给甲方的认证证书。</w:t>
      </w:r>
    </w:p>
    <w:p>
      <w:pPr>
        <w:numPr>
          <w:ilvl w:val="0"/>
          <w:numId w:val="1"/>
        </w:numPr>
        <w:tabs>
          <w:tab w:val="left" w:pos="426"/>
        </w:tabs>
        <w:spacing w:line="360" w:lineRule="auto"/>
        <w:ind w:hangingChars="177"/>
        <w:jc w:val="left"/>
        <w:rPr>
          <w:rFonts w:ascii="宋体" w:hAnsi="宋体" w:eastAsia="宋体"/>
          <w:sz w:val="24"/>
          <w:szCs w:val="24"/>
        </w:rPr>
      </w:pPr>
      <w:r>
        <w:rPr>
          <w:rFonts w:hint="eastAsia" w:ascii="宋体" w:hAnsi="宋体" w:eastAsia="宋体"/>
          <w:sz w:val="24"/>
          <w:szCs w:val="24"/>
        </w:rPr>
        <w:t>向乙方提交真实有效的管理体系成文信息（如：手册、程序、记录等），和必要的工作条件，否则甲方承担相应的认证风险。</w:t>
      </w:r>
    </w:p>
    <w:p>
      <w:pPr>
        <w:numPr>
          <w:ilvl w:val="0"/>
          <w:numId w:val="1"/>
        </w:numPr>
        <w:tabs>
          <w:tab w:val="left" w:pos="426"/>
        </w:tabs>
        <w:spacing w:line="360" w:lineRule="auto"/>
        <w:ind w:hangingChars="177"/>
        <w:jc w:val="left"/>
        <w:rPr>
          <w:rFonts w:ascii="宋体" w:hAnsi="宋体" w:eastAsia="宋体"/>
          <w:sz w:val="24"/>
          <w:szCs w:val="24"/>
        </w:rPr>
      </w:pPr>
      <w:r>
        <w:rPr>
          <w:rFonts w:hint="eastAsia" w:ascii="宋体" w:hAnsi="宋体" w:eastAsia="宋体"/>
          <w:sz w:val="24"/>
          <w:szCs w:val="24"/>
        </w:rPr>
        <w:t>按合同约定向乙方支付审核费用和其它费用。由于不按期支付，所造成审核不能如期实施、证书暂停、注销、撤销的后果由甲方承担。</w:t>
      </w:r>
    </w:p>
    <w:p>
      <w:pPr>
        <w:numPr>
          <w:ilvl w:val="0"/>
          <w:numId w:val="1"/>
        </w:numPr>
        <w:tabs>
          <w:tab w:val="left" w:pos="426"/>
        </w:tabs>
        <w:spacing w:line="360" w:lineRule="auto"/>
        <w:ind w:hangingChars="177"/>
        <w:jc w:val="left"/>
        <w:rPr>
          <w:rFonts w:ascii="宋体" w:hAnsi="宋体" w:eastAsia="宋体"/>
          <w:sz w:val="24"/>
          <w:szCs w:val="24"/>
        </w:rPr>
      </w:pPr>
      <w:r>
        <w:rPr>
          <w:rFonts w:hint="eastAsia" w:ascii="宋体" w:hAnsi="宋体" w:eastAsia="宋体"/>
          <w:sz w:val="24"/>
          <w:szCs w:val="24"/>
        </w:rPr>
        <w:t>甲方有权对乙方选派的审核组成员的任命表示反对，发生此情况须向乙方提出书面报告和异议。</w:t>
      </w:r>
    </w:p>
    <w:p>
      <w:pPr>
        <w:numPr>
          <w:ilvl w:val="0"/>
          <w:numId w:val="1"/>
        </w:numPr>
        <w:tabs>
          <w:tab w:val="left" w:pos="426"/>
        </w:tabs>
        <w:spacing w:line="360" w:lineRule="auto"/>
        <w:ind w:hangingChars="177"/>
        <w:jc w:val="left"/>
        <w:rPr>
          <w:rFonts w:ascii="宋体" w:hAnsi="宋体" w:eastAsia="宋体"/>
          <w:sz w:val="24"/>
          <w:szCs w:val="24"/>
        </w:rPr>
      </w:pPr>
      <w:r>
        <w:rPr>
          <w:rFonts w:hint="eastAsia" w:ascii="宋体" w:hAnsi="宋体" w:eastAsia="宋体"/>
          <w:sz w:val="24"/>
          <w:szCs w:val="24"/>
        </w:rPr>
        <w:t>第一阶段审核前确保体系有效运行不少于3个月</w:t>
      </w:r>
      <w:r>
        <w:rPr>
          <w:rFonts w:hint="eastAsia" w:ascii="宋体" w:hAnsi="宋体" w:eastAsia="宋体"/>
          <w:sz w:val="24"/>
          <w:szCs w:val="24"/>
          <w:lang w:eastAsia="zh-CN"/>
        </w:rPr>
        <w:t>（</w:t>
      </w:r>
      <w:r>
        <w:rPr>
          <w:rFonts w:hint="eastAsia" w:ascii="宋体" w:hAnsi="宋体" w:eastAsia="宋体"/>
          <w:sz w:val="24"/>
          <w:szCs w:val="24"/>
          <w:highlight w:val="none"/>
          <w:lang w:val="en-US" w:eastAsia="zh-CN"/>
        </w:rPr>
        <w:t>能源管理体系应不少于6个月</w:t>
      </w:r>
      <w:r>
        <w:rPr>
          <w:rFonts w:hint="eastAsia" w:ascii="宋体" w:hAnsi="宋体" w:eastAsia="宋体"/>
          <w:sz w:val="24"/>
          <w:szCs w:val="24"/>
          <w:lang w:eastAsia="zh-CN"/>
        </w:rPr>
        <w:t>）</w:t>
      </w:r>
      <w:r>
        <w:rPr>
          <w:rFonts w:hint="eastAsia" w:ascii="宋体" w:hAnsi="宋体" w:eastAsia="宋体"/>
          <w:sz w:val="24"/>
          <w:szCs w:val="24"/>
        </w:rPr>
        <w:t>，获证后持续有效运行管理体系。</w:t>
      </w:r>
    </w:p>
    <w:p>
      <w:pPr>
        <w:numPr>
          <w:ilvl w:val="0"/>
          <w:numId w:val="1"/>
        </w:numPr>
        <w:tabs>
          <w:tab w:val="left" w:pos="426"/>
        </w:tabs>
        <w:spacing w:line="360" w:lineRule="auto"/>
        <w:ind w:hangingChars="177"/>
        <w:jc w:val="left"/>
        <w:rPr>
          <w:rFonts w:ascii="宋体" w:hAnsi="宋体" w:eastAsia="宋体"/>
          <w:sz w:val="24"/>
          <w:szCs w:val="24"/>
        </w:rPr>
      </w:pPr>
      <w:r>
        <w:rPr>
          <w:rFonts w:hint="eastAsia" w:ascii="宋体" w:hAnsi="宋体" w:eastAsia="宋体"/>
          <w:sz w:val="24"/>
          <w:szCs w:val="24"/>
        </w:rPr>
        <w:t>承诺遵守认证认可相关法律法规，协助认证监管部门的监督检查，对有关事项询问和调查如实提供相关材料和信息。</w:t>
      </w:r>
    </w:p>
    <w:p>
      <w:pPr>
        <w:numPr>
          <w:ilvl w:val="0"/>
          <w:numId w:val="1"/>
        </w:numPr>
        <w:tabs>
          <w:tab w:val="left" w:pos="426"/>
        </w:tabs>
        <w:spacing w:line="360" w:lineRule="auto"/>
        <w:ind w:hangingChars="177"/>
        <w:jc w:val="left"/>
        <w:rPr>
          <w:rFonts w:ascii="宋体" w:hAnsi="宋体" w:eastAsia="宋体"/>
          <w:sz w:val="24"/>
          <w:szCs w:val="24"/>
        </w:rPr>
      </w:pPr>
      <w:r>
        <w:rPr>
          <w:rFonts w:hint="eastAsia" w:ascii="宋体" w:hAnsi="宋体" w:eastAsia="宋体"/>
          <w:sz w:val="24"/>
          <w:szCs w:val="24"/>
        </w:rPr>
        <w:t>甲方获得认证后发生以下情况时，应及时向认证机构通报：</w:t>
      </w:r>
    </w:p>
    <w:p>
      <w:pPr>
        <w:pStyle w:val="14"/>
        <w:numPr>
          <w:ilvl w:val="0"/>
          <w:numId w:val="2"/>
        </w:numPr>
        <w:tabs>
          <w:tab w:val="left" w:pos="426"/>
        </w:tabs>
        <w:spacing w:line="360" w:lineRule="auto"/>
        <w:ind w:firstLineChars="0"/>
        <w:jc w:val="left"/>
        <w:rPr>
          <w:rFonts w:ascii="宋体" w:hAnsi="宋体"/>
          <w:sz w:val="24"/>
        </w:rPr>
      </w:pPr>
      <w:r>
        <w:rPr>
          <w:rFonts w:hint="eastAsia" w:ascii="宋体" w:hAnsi="宋体"/>
          <w:sz w:val="24"/>
        </w:rPr>
        <w:t>客户及相关方有重大投诉；</w:t>
      </w:r>
    </w:p>
    <w:p>
      <w:pPr>
        <w:pStyle w:val="14"/>
        <w:numPr>
          <w:ilvl w:val="0"/>
          <w:numId w:val="2"/>
        </w:numPr>
        <w:tabs>
          <w:tab w:val="left" w:pos="426"/>
        </w:tabs>
        <w:spacing w:line="360" w:lineRule="auto"/>
        <w:ind w:firstLineChars="0"/>
        <w:jc w:val="left"/>
        <w:rPr>
          <w:rFonts w:ascii="宋体" w:hAnsi="宋体"/>
          <w:sz w:val="24"/>
        </w:rPr>
      </w:pPr>
      <w:r>
        <w:rPr>
          <w:rFonts w:hint="eastAsia" w:ascii="宋体" w:hAnsi="宋体"/>
          <w:sz w:val="24"/>
        </w:rPr>
        <w:t>生产的产品或服务被执法监管部门认定不符合法定要求；</w:t>
      </w:r>
    </w:p>
    <w:p>
      <w:pPr>
        <w:pStyle w:val="14"/>
        <w:numPr>
          <w:ilvl w:val="0"/>
          <w:numId w:val="2"/>
        </w:numPr>
        <w:tabs>
          <w:tab w:val="left" w:pos="426"/>
        </w:tabs>
        <w:spacing w:line="360" w:lineRule="auto"/>
        <w:ind w:firstLineChars="0"/>
        <w:jc w:val="left"/>
        <w:rPr>
          <w:rFonts w:ascii="宋体" w:hAnsi="宋体"/>
          <w:sz w:val="24"/>
        </w:rPr>
      </w:pPr>
      <w:r>
        <w:rPr>
          <w:rFonts w:hint="eastAsia" w:ascii="宋体" w:hAnsi="宋体"/>
          <w:sz w:val="24"/>
        </w:rPr>
        <w:t>发生产品或服务的质量安全事故、环境污染事故、生产安全事故；</w:t>
      </w:r>
    </w:p>
    <w:p>
      <w:pPr>
        <w:pStyle w:val="14"/>
        <w:numPr>
          <w:ilvl w:val="0"/>
          <w:numId w:val="2"/>
        </w:numPr>
        <w:tabs>
          <w:tab w:val="left" w:pos="426"/>
        </w:tabs>
        <w:spacing w:line="360" w:lineRule="auto"/>
        <w:ind w:firstLineChars="0"/>
        <w:jc w:val="left"/>
        <w:rPr>
          <w:rFonts w:ascii="宋体" w:hAnsi="宋体"/>
          <w:sz w:val="24"/>
        </w:rPr>
      </w:pPr>
      <w:r>
        <w:rPr>
          <w:rFonts w:hint="eastAsia" w:ascii="宋体" w:hAnsi="宋体"/>
          <w:sz w:val="24"/>
        </w:rPr>
        <w:t>相关情况发生变更，包括：法律地位、生产经营状况、组织状态或所有权变更；取得的行政许可资格、强制性认证或其他资质证书变更；法定代表人、最高管理者、管理者代表变更；联系地址、注册地址、生产经营或服务的工作场所变更；管理体系覆盖的活动范围变更；管理体系和重要过程的重大变更等；</w:t>
      </w:r>
    </w:p>
    <w:p>
      <w:pPr>
        <w:pStyle w:val="14"/>
        <w:numPr>
          <w:ilvl w:val="0"/>
          <w:numId w:val="2"/>
        </w:numPr>
        <w:tabs>
          <w:tab w:val="left" w:pos="426"/>
        </w:tabs>
        <w:spacing w:line="360" w:lineRule="auto"/>
        <w:ind w:firstLineChars="0"/>
        <w:jc w:val="left"/>
        <w:rPr>
          <w:rFonts w:ascii="宋体" w:hAnsi="宋体"/>
          <w:sz w:val="24"/>
        </w:rPr>
      </w:pPr>
      <w:r>
        <w:rPr>
          <w:rFonts w:hint="eastAsia" w:ascii="宋体" w:hAnsi="宋体"/>
          <w:sz w:val="24"/>
        </w:rPr>
        <w:t>管理体系文件的变化；</w:t>
      </w:r>
    </w:p>
    <w:p>
      <w:pPr>
        <w:pStyle w:val="14"/>
        <w:numPr>
          <w:ilvl w:val="0"/>
          <w:numId w:val="2"/>
        </w:numPr>
        <w:tabs>
          <w:tab w:val="left" w:pos="426"/>
        </w:tabs>
        <w:spacing w:line="360" w:lineRule="auto"/>
        <w:ind w:firstLineChars="0"/>
        <w:jc w:val="left"/>
        <w:rPr>
          <w:rFonts w:ascii="宋体" w:hAnsi="宋体"/>
          <w:sz w:val="24"/>
        </w:rPr>
      </w:pPr>
      <w:r>
        <w:rPr>
          <w:rFonts w:hint="eastAsia" w:ascii="宋体" w:hAnsi="宋体"/>
          <w:sz w:val="24"/>
        </w:rPr>
        <w:t>适用法律法规及标准的变化；</w:t>
      </w:r>
    </w:p>
    <w:p>
      <w:pPr>
        <w:pStyle w:val="14"/>
        <w:numPr>
          <w:ilvl w:val="0"/>
          <w:numId w:val="2"/>
        </w:numPr>
        <w:tabs>
          <w:tab w:val="left" w:pos="426"/>
        </w:tabs>
        <w:spacing w:line="360" w:lineRule="auto"/>
        <w:ind w:firstLineChars="0"/>
        <w:jc w:val="left"/>
        <w:rPr>
          <w:rFonts w:ascii="宋体" w:hAnsi="宋体"/>
          <w:sz w:val="24"/>
        </w:rPr>
      </w:pPr>
      <w:r>
        <w:rPr>
          <w:rFonts w:hint="eastAsia" w:ascii="宋体" w:hAnsi="宋体"/>
          <w:sz w:val="24"/>
        </w:rPr>
        <w:t>生产、销售的产品或提供的服务被质量或市场监督部门认定不合格；发生产品质量安全事故、环境污染事故、安全事故、信息安全事故、信息技术服务质量事故等事故以及发生劳动纠纷、违反劳动法律法规等事件；</w:t>
      </w:r>
    </w:p>
    <w:p>
      <w:pPr>
        <w:pStyle w:val="14"/>
        <w:numPr>
          <w:ilvl w:val="0"/>
          <w:numId w:val="2"/>
        </w:numPr>
        <w:tabs>
          <w:tab w:val="left" w:pos="426"/>
        </w:tabs>
        <w:spacing w:line="360" w:lineRule="auto"/>
        <w:ind w:firstLineChars="0"/>
        <w:jc w:val="left"/>
        <w:rPr>
          <w:rFonts w:ascii="宋体" w:hAnsi="宋体"/>
          <w:sz w:val="24"/>
        </w:rPr>
      </w:pPr>
      <w:r>
        <w:rPr>
          <w:rFonts w:hint="eastAsia" w:ascii="宋体" w:hAnsi="宋体"/>
          <w:sz w:val="24"/>
        </w:rPr>
        <w:t>出现影响管理体系运行的其他重要情况。</w:t>
      </w:r>
    </w:p>
    <w:p>
      <w:pPr>
        <w:numPr>
          <w:ilvl w:val="0"/>
          <w:numId w:val="1"/>
        </w:numPr>
        <w:tabs>
          <w:tab w:val="left" w:pos="426"/>
        </w:tabs>
        <w:spacing w:line="360" w:lineRule="auto"/>
        <w:ind w:hangingChars="177"/>
        <w:jc w:val="left"/>
        <w:rPr>
          <w:rFonts w:ascii="宋体" w:hAnsi="宋体" w:eastAsia="宋体"/>
          <w:sz w:val="24"/>
          <w:szCs w:val="24"/>
        </w:rPr>
      </w:pPr>
      <w:r>
        <w:rPr>
          <w:rFonts w:hint="eastAsia" w:ascii="宋体" w:hAnsi="宋体" w:eastAsia="宋体"/>
          <w:sz w:val="24"/>
          <w:szCs w:val="24"/>
        </w:rPr>
        <w:t>获得信息技术</w:t>
      </w:r>
      <w:r>
        <w:rPr>
          <w:rFonts w:ascii="宋体" w:hAnsi="宋体" w:eastAsia="宋体"/>
          <w:sz w:val="24"/>
          <w:szCs w:val="24"/>
        </w:rPr>
        <w:t>服务管理体系认证的组织除进行上述通报外，每三个月应向乙方通报顾客投诉的相关信息，及时通报服务目录的变化情况</w:t>
      </w:r>
      <w:r>
        <w:rPr>
          <w:rFonts w:hint="eastAsia" w:ascii="宋体" w:hAnsi="宋体" w:eastAsia="宋体"/>
          <w:sz w:val="24"/>
          <w:szCs w:val="24"/>
        </w:rPr>
        <w:t>。</w:t>
      </w:r>
    </w:p>
    <w:p>
      <w:pPr>
        <w:numPr>
          <w:ilvl w:val="0"/>
          <w:numId w:val="1"/>
        </w:numPr>
        <w:tabs>
          <w:tab w:val="left" w:pos="426"/>
        </w:tabs>
        <w:spacing w:line="360" w:lineRule="auto"/>
        <w:ind w:hangingChars="177"/>
        <w:jc w:val="left"/>
        <w:rPr>
          <w:rFonts w:ascii="宋体" w:hAnsi="宋体" w:eastAsia="宋体"/>
          <w:sz w:val="24"/>
          <w:szCs w:val="24"/>
        </w:rPr>
      </w:pPr>
      <w:r>
        <w:rPr>
          <w:rFonts w:hint="eastAsia" w:ascii="宋体" w:hAnsi="宋体" w:eastAsia="宋体"/>
          <w:sz w:val="24"/>
          <w:szCs w:val="24"/>
        </w:rPr>
        <w:t>甲方应保证管理体系有关信息的真实性，因隐瞒管理体系覆盖的组织机构、人数、多场所数量等信息导致审核人日不足、多场所抽样量不足、审核结果无效或认证证书失效，由此造成的损失由甲方承担全责，并承担对乙方造成的损失。</w:t>
      </w:r>
    </w:p>
    <w:p>
      <w:pPr>
        <w:numPr>
          <w:ilvl w:val="0"/>
          <w:numId w:val="1"/>
        </w:numPr>
        <w:tabs>
          <w:tab w:val="left" w:pos="426"/>
        </w:tabs>
        <w:spacing w:line="360" w:lineRule="auto"/>
        <w:ind w:hangingChars="177"/>
        <w:jc w:val="left"/>
        <w:rPr>
          <w:rFonts w:ascii="宋体" w:hAnsi="宋体" w:eastAsia="宋体"/>
          <w:sz w:val="24"/>
          <w:szCs w:val="24"/>
        </w:rPr>
      </w:pPr>
      <w:r>
        <w:rPr>
          <w:rFonts w:hint="eastAsia" w:ascii="宋体" w:hAnsi="宋体" w:eastAsia="宋体"/>
          <w:sz w:val="24"/>
          <w:szCs w:val="24"/>
        </w:rPr>
        <w:t>接受乙方、认可机构等安排的非例行检查/审核、确认审核、见证评审等，并在检查/审核/评审中给予必要的配合。</w:t>
      </w:r>
    </w:p>
    <w:p>
      <w:pPr>
        <w:numPr>
          <w:ilvl w:val="0"/>
          <w:numId w:val="1"/>
        </w:numPr>
        <w:tabs>
          <w:tab w:val="left" w:pos="426"/>
          <w:tab w:val="left" w:pos="993"/>
        </w:tabs>
        <w:spacing w:line="360" w:lineRule="auto"/>
        <w:ind w:hangingChars="177"/>
        <w:jc w:val="left"/>
        <w:rPr>
          <w:rFonts w:ascii="宋体" w:hAnsi="宋体" w:eastAsia="宋体"/>
          <w:sz w:val="24"/>
          <w:szCs w:val="24"/>
        </w:rPr>
      </w:pPr>
      <w:r>
        <w:rPr>
          <w:rFonts w:hint="eastAsia" w:ascii="宋体" w:hAnsi="宋体" w:eastAsia="宋体"/>
          <w:sz w:val="24"/>
          <w:szCs w:val="24"/>
        </w:rPr>
        <w:t>承诺甲方获得认证证书后按乙方公开文件的要求正确使用认证证书、认证标志和有关信息；不擅自利用管理体系认证证书和相关文字、符号误导公众认为其产品或服务通过认证。</w:t>
      </w:r>
    </w:p>
    <w:p>
      <w:pPr>
        <w:numPr>
          <w:ilvl w:val="0"/>
          <w:numId w:val="1"/>
        </w:numPr>
        <w:tabs>
          <w:tab w:val="left" w:pos="426"/>
          <w:tab w:val="left" w:pos="993"/>
        </w:tabs>
        <w:spacing w:line="360" w:lineRule="auto"/>
        <w:ind w:hangingChars="177"/>
        <w:jc w:val="left"/>
        <w:rPr>
          <w:rFonts w:ascii="宋体" w:hAnsi="宋体" w:eastAsia="宋体"/>
          <w:sz w:val="24"/>
          <w:szCs w:val="24"/>
        </w:rPr>
      </w:pPr>
      <w:r>
        <w:rPr>
          <w:rFonts w:hint="eastAsia" w:ascii="宋体" w:hAnsi="宋体" w:eastAsia="宋体"/>
          <w:sz w:val="24"/>
          <w:szCs w:val="24"/>
        </w:rPr>
        <w:t>甲方有权就认证活动向乙方或相关管理机构提出申诉和投诉。</w:t>
      </w:r>
    </w:p>
    <w:p>
      <w:pPr>
        <w:numPr>
          <w:ilvl w:val="0"/>
          <w:numId w:val="1"/>
        </w:numPr>
        <w:tabs>
          <w:tab w:val="left" w:pos="426"/>
          <w:tab w:val="left" w:pos="993"/>
        </w:tabs>
        <w:spacing w:line="360" w:lineRule="auto"/>
        <w:ind w:hangingChars="177"/>
        <w:jc w:val="left"/>
        <w:rPr>
          <w:rFonts w:ascii="宋体" w:hAnsi="宋体" w:eastAsia="宋体"/>
          <w:sz w:val="24"/>
          <w:szCs w:val="24"/>
        </w:rPr>
      </w:pPr>
      <w:r>
        <w:rPr>
          <w:rFonts w:hint="eastAsia" w:ascii="宋体" w:hAnsi="宋体" w:eastAsia="宋体"/>
          <w:sz w:val="24"/>
          <w:szCs w:val="24"/>
        </w:rPr>
        <w:t>甲方证书被暂停期间或撤销、注销时，应立即停止宣传获证资格。在认证范围被缩小时，应修改与其相关的宣传材料；在注销（证书有效期已到终止时间）或撤销时，按照乙方撤销通知和公开文件要求，立即停止使用宣传获证资格的广告资料，并将证书归还乙方。</w:t>
      </w:r>
    </w:p>
    <w:p>
      <w:pPr>
        <w:spacing w:line="360" w:lineRule="auto"/>
        <w:jc w:val="left"/>
        <w:rPr>
          <w:rFonts w:ascii="宋体" w:hAnsi="宋体" w:eastAsia="宋体"/>
          <w:b/>
          <w:bCs/>
          <w:sz w:val="24"/>
          <w:szCs w:val="24"/>
        </w:rPr>
      </w:pPr>
      <w:r>
        <w:rPr>
          <w:rFonts w:hint="eastAsia" w:ascii="宋体" w:hAnsi="宋体" w:eastAsia="宋体"/>
          <w:b/>
          <w:bCs/>
          <w:sz w:val="24"/>
          <w:szCs w:val="24"/>
        </w:rPr>
        <w:t>第六条 乙方权利和义务</w:t>
      </w:r>
    </w:p>
    <w:p>
      <w:pPr>
        <w:numPr>
          <w:ilvl w:val="0"/>
          <w:numId w:val="3"/>
        </w:numPr>
        <w:tabs>
          <w:tab w:val="left" w:pos="567"/>
        </w:tabs>
        <w:spacing w:line="360" w:lineRule="auto"/>
        <w:ind w:hangingChars="177"/>
        <w:jc w:val="left"/>
        <w:rPr>
          <w:rFonts w:ascii="宋体" w:hAnsi="宋体" w:eastAsia="宋体"/>
          <w:sz w:val="24"/>
          <w:szCs w:val="24"/>
        </w:rPr>
      </w:pPr>
      <w:r>
        <w:rPr>
          <w:rFonts w:hint="eastAsia" w:ascii="宋体" w:hAnsi="宋体" w:eastAsia="宋体"/>
          <w:sz w:val="24"/>
          <w:szCs w:val="24"/>
        </w:rPr>
        <w:t>乙方有权依据相关法律法规和现场审核结论，确定甲方认证注册范围；决定是否给予甲方认证注册和颁发证书。</w:t>
      </w:r>
    </w:p>
    <w:p>
      <w:pPr>
        <w:numPr>
          <w:ilvl w:val="0"/>
          <w:numId w:val="3"/>
        </w:numPr>
        <w:tabs>
          <w:tab w:val="left" w:pos="567"/>
        </w:tabs>
        <w:spacing w:line="360" w:lineRule="auto"/>
        <w:ind w:hangingChars="177"/>
        <w:jc w:val="left"/>
        <w:rPr>
          <w:rFonts w:ascii="宋体" w:hAnsi="宋体" w:eastAsia="宋体"/>
          <w:sz w:val="24"/>
          <w:szCs w:val="24"/>
        </w:rPr>
      </w:pPr>
      <w:r>
        <w:rPr>
          <w:rFonts w:hint="eastAsia" w:ascii="宋体" w:hAnsi="宋体" w:eastAsia="宋体"/>
          <w:sz w:val="24"/>
          <w:szCs w:val="24"/>
        </w:rPr>
        <w:t>当甲方认证注册资格被暂停或撤销时，乙方有权在网站及相关媒体上公布或声明暂停或撤销相应认证证书的信息，同时按规定程序报国家认监委，并采取有效监督措施，以避免无效认证证书和认证标志被继续使用。</w:t>
      </w:r>
    </w:p>
    <w:p>
      <w:pPr>
        <w:numPr>
          <w:ilvl w:val="0"/>
          <w:numId w:val="3"/>
        </w:numPr>
        <w:tabs>
          <w:tab w:val="left" w:pos="567"/>
        </w:tabs>
        <w:spacing w:line="360" w:lineRule="auto"/>
        <w:ind w:hangingChars="177"/>
        <w:jc w:val="left"/>
        <w:rPr>
          <w:rFonts w:ascii="宋体" w:hAnsi="宋体" w:eastAsia="宋体"/>
          <w:sz w:val="24"/>
          <w:szCs w:val="24"/>
        </w:rPr>
      </w:pPr>
      <w:r>
        <w:rPr>
          <w:rFonts w:hint="eastAsia" w:ascii="宋体" w:hAnsi="宋体" w:eastAsia="宋体"/>
          <w:sz w:val="24"/>
          <w:szCs w:val="24"/>
        </w:rPr>
        <w:t>有权在甲方管理体系出现异常情况时，适时地安排非例行的审核；其时间及费用由双方另行商定。如甲方的产品在产品质量国家监督抽查中被查出不合格时，甲方应在5日内向乙方通报，同时自国家质检总局发出通报起30日内，乙方应对甲方实施监督审核。</w:t>
      </w:r>
    </w:p>
    <w:p>
      <w:pPr>
        <w:numPr>
          <w:ilvl w:val="0"/>
          <w:numId w:val="3"/>
        </w:numPr>
        <w:tabs>
          <w:tab w:val="left" w:pos="567"/>
        </w:tabs>
        <w:spacing w:line="360" w:lineRule="auto"/>
        <w:ind w:hangingChars="177"/>
        <w:jc w:val="left"/>
        <w:rPr>
          <w:rFonts w:ascii="宋体" w:hAnsi="宋体" w:eastAsia="宋体"/>
          <w:sz w:val="24"/>
          <w:szCs w:val="24"/>
        </w:rPr>
      </w:pPr>
      <w:r>
        <w:rPr>
          <w:rFonts w:hint="eastAsia" w:ascii="宋体" w:hAnsi="宋体" w:eastAsia="宋体"/>
          <w:sz w:val="24"/>
          <w:szCs w:val="24"/>
        </w:rPr>
        <w:t>向甲方提供资格证明文件及公开性文件，依约定向甲方提交审核计划；按认证认可有关规定选派审核组成员。乙方应公正/科学/客观/实事求是地提出问题和处理问题。</w:t>
      </w:r>
    </w:p>
    <w:p>
      <w:pPr>
        <w:numPr>
          <w:ilvl w:val="0"/>
          <w:numId w:val="3"/>
        </w:numPr>
        <w:tabs>
          <w:tab w:val="left" w:pos="567"/>
        </w:tabs>
        <w:spacing w:line="360" w:lineRule="auto"/>
        <w:ind w:hangingChars="177"/>
        <w:jc w:val="left"/>
        <w:rPr>
          <w:rFonts w:ascii="宋体" w:hAnsi="宋体" w:eastAsia="宋体"/>
          <w:sz w:val="24"/>
          <w:szCs w:val="24"/>
        </w:rPr>
      </w:pPr>
      <w:r>
        <w:rPr>
          <w:rFonts w:hint="eastAsia" w:ascii="宋体" w:hAnsi="宋体" w:eastAsia="宋体"/>
          <w:sz w:val="24"/>
          <w:szCs w:val="24"/>
        </w:rPr>
        <w:t>收到甲方按合同约定支付的相应费用后，安排审核组实施审核；</w:t>
      </w:r>
    </w:p>
    <w:p>
      <w:pPr>
        <w:numPr>
          <w:ilvl w:val="0"/>
          <w:numId w:val="3"/>
        </w:numPr>
        <w:tabs>
          <w:tab w:val="left" w:pos="567"/>
        </w:tabs>
        <w:spacing w:line="360" w:lineRule="auto"/>
        <w:ind w:hangingChars="177"/>
        <w:jc w:val="left"/>
        <w:rPr>
          <w:rFonts w:ascii="宋体" w:hAnsi="宋体" w:eastAsia="宋体"/>
          <w:sz w:val="24"/>
          <w:szCs w:val="24"/>
        </w:rPr>
      </w:pPr>
      <w:r>
        <w:rPr>
          <w:rFonts w:hint="eastAsia" w:ascii="宋体" w:hAnsi="宋体" w:eastAsia="宋体"/>
          <w:sz w:val="24"/>
          <w:szCs w:val="24"/>
        </w:rPr>
        <w:t>遵守保密声明，未经甲方同意，不向任何第三方提供涉及甲方的保密资料（有法律要求的情况除外）；</w:t>
      </w:r>
    </w:p>
    <w:p>
      <w:pPr>
        <w:numPr>
          <w:ilvl w:val="0"/>
          <w:numId w:val="3"/>
        </w:numPr>
        <w:tabs>
          <w:tab w:val="left" w:pos="567"/>
        </w:tabs>
        <w:spacing w:line="360" w:lineRule="auto"/>
        <w:ind w:hangingChars="177"/>
        <w:jc w:val="left"/>
        <w:rPr>
          <w:rFonts w:ascii="宋体" w:hAnsi="宋体" w:eastAsia="宋体"/>
          <w:sz w:val="24"/>
          <w:szCs w:val="24"/>
        </w:rPr>
      </w:pPr>
      <w:r>
        <w:rPr>
          <w:rFonts w:hint="eastAsia" w:ascii="宋体" w:hAnsi="宋体" w:eastAsia="宋体"/>
          <w:sz w:val="24"/>
          <w:szCs w:val="24"/>
        </w:rPr>
        <w:t>甲方获证后，乙方定期对其管理体系实施监督审核；</w:t>
      </w:r>
      <w:r>
        <w:rPr>
          <w:rFonts w:ascii="宋体" w:hAnsi="宋体" w:eastAsia="宋体"/>
          <w:sz w:val="24"/>
          <w:szCs w:val="24"/>
        </w:rPr>
        <w:t xml:space="preserve"> </w:t>
      </w:r>
    </w:p>
    <w:p>
      <w:pPr>
        <w:numPr>
          <w:ilvl w:val="0"/>
          <w:numId w:val="3"/>
        </w:numPr>
        <w:tabs>
          <w:tab w:val="left" w:pos="567"/>
        </w:tabs>
        <w:spacing w:line="360" w:lineRule="auto"/>
        <w:ind w:hangingChars="177"/>
        <w:jc w:val="left"/>
        <w:rPr>
          <w:rFonts w:ascii="宋体" w:hAnsi="宋体" w:eastAsia="宋体"/>
          <w:sz w:val="24"/>
          <w:szCs w:val="24"/>
        </w:rPr>
      </w:pPr>
      <w:r>
        <w:rPr>
          <w:rFonts w:hint="eastAsia" w:ascii="宋体" w:hAnsi="宋体" w:eastAsia="宋体"/>
          <w:sz w:val="24"/>
          <w:szCs w:val="24"/>
        </w:rPr>
        <w:t>当甲方被国家市场监督管理局列入质量信用严重失信企业名单时，乙方有权撤销甲方认证注册资格。</w:t>
      </w:r>
    </w:p>
    <w:p>
      <w:pPr>
        <w:numPr>
          <w:ilvl w:val="0"/>
          <w:numId w:val="3"/>
        </w:numPr>
        <w:tabs>
          <w:tab w:val="left" w:pos="567"/>
        </w:tabs>
        <w:spacing w:line="360" w:lineRule="auto"/>
        <w:ind w:hangingChars="177"/>
        <w:jc w:val="left"/>
        <w:rPr>
          <w:rFonts w:ascii="宋体" w:hAnsi="宋体" w:eastAsia="宋体"/>
          <w:sz w:val="24"/>
          <w:szCs w:val="24"/>
        </w:rPr>
      </w:pPr>
      <w:r>
        <w:rPr>
          <w:rFonts w:hint="eastAsia" w:ascii="宋体" w:hAnsi="宋体" w:eastAsia="宋体"/>
          <w:sz w:val="24"/>
          <w:szCs w:val="24"/>
        </w:rPr>
        <w:t>当甲方拒绝接受国家产品质量监督抽查时，乙方有权撤销发放认证注册资格。</w:t>
      </w:r>
    </w:p>
    <w:p>
      <w:pPr>
        <w:numPr>
          <w:ilvl w:val="0"/>
          <w:numId w:val="3"/>
        </w:numPr>
        <w:tabs>
          <w:tab w:val="left" w:pos="567"/>
        </w:tabs>
        <w:spacing w:line="360" w:lineRule="auto"/>
        <w:ind w:hangingChars="177"/>
        <w:jc w:val="left"/>
        <w:rPr>
          <w:rFonts w:ascii="宋体" w:hAnsi="宋体" w:eastAsia="宋体"/>
          <w:sz w:val="24"/>
          <w:szCs w:val="24"/>
        </w:rPr>
      </w:pPr>
      <w:r>
        <w:rPr>
          <w:rFonts w:hint="eastAsia" w:ascii="宋体" w:hAnsi="宋体" w:eastAsia="宋体"/>
          <w:sz w:val="24"/>
          <w:szCs w:val="24"/>
        </w:rPr>
        <w:t>乙方有权对违反有关规定的甲方暂停或撤销认证证书，</w:t>
      </w:r>
      <w:r>
        <w:rPr>
          <w:rFonts w:ascii="宋体" w:hAnsi="宋体" w:eastAsia="宋体"/>
          <w:sz w:val="24"/>
          <w:szCs w:val="24"/>
        </w:rPr>
        <w:t>并要求甲方停止使用和交还相关的认证证书</w:t>
      </w:r>
      <w:r>
        <w:rPr>
          <w:rFonts w:hint="eastAsia" w:ascii="宋体" w:hAnsi="宋体" w:eastAsia="宋体"/>
          <w:sz w:val="24"/>
          <w:szCs w:val="24"/>
        </w:rPr>
        <w:t>，且发布暂停或撤销公告。</w:t>
      </w:r>
    </w:p>
    <w:p>
      <w:pPr>
        <w:numPr>
          <w:ilvl w:val="0"/>
          <w:numId w:val="3"/>
        </w:numPr>
        <w:tabs>
          <w:tab w:val="left" w:pos="567"/>
        </w:tabs>
        <w:spacing w:line="360" w:lineRule="auto"/>
        <w:ind w:hangingChars="177"/>
        <w:jc w:val="left"/>
        <w:rPr>
          <w:rFonts w:ascii="宋体" w:hAnsi="宋体" w:eastAsia="宋体"/>
          <w:sz w:val="24"/>
          <w:szCs w:val="24"/>
        </w:rPr>
      </w:pPr>
      <w:r>
        <w:rPr>
          <w:rFonts w:hint="eastAsia" w:ascii="宋体" w:hAnsi="宋体" w:eastAsia="宋体"/>
          <w:sz w:val="24"/>
          <w:szCs w:val="24"/>
        </w:rPr>
        <w:t>由于非乙方原因导致本合同不能继续履行或终止的，乙方所收取的费用不予退还。</w:t>
      </w:r>
      <w:bookmarkStart w:id="3" w:name="_Hlk6233200"/>
      <w:r>
        <w:rPr>
          <w:rFonts w:hint="eastAsia" w:ascii="宋体" w:hAnsi="宋体" w:eastAsia="宋体"/>
          <w:sz w:val="24"/>
          <w:szCs w:val="24"/>
        </w:rPr>
        <w:t>甲方仍应支付剩余费用。</w:t>
      </w:r>
      <w:bookmarkEnd w:id="3"/>
    </w:p>
    <w:p>
      <w:pPr>
        <w:spacing w:line="360" w:lineRule="auto"/>
        <w:ind w:left="995" w:leftChars="1" w:hanging="993" w:hangingChars="412"/>
        <w:jc w:val="left"/>
        <w:rPr>
          <w:rFonts w:ascii="宋体" w:hAnsi="宋体" w:eastAsia="宋体"/>
          <w:b/>
          <w:bCs/>
          <w:sz w:val="24"/>
          <w:szCs w:val="24"/>
        </w:rPr>
      </w:pPr>
      <w:r>
        <w:rPr>
          <w:rFonts w:hint="eastAsia" w:ascii="宋体" w:hAnsi="宋体" w:eastAsia="宋体"/>
          <w:b/>
          <w:bCs/>
          <w:sz w:val="24"/>
          <w:szCs w:val="24"/>
        </w:rPr>
        <w:t>第七条 违约责任</w:t>
      </w:r>
    </w:p>
    <w:p>
      <w:pPr>
        <w:snapToGrid w:val="0"/>
        <w:spacing w:line="360" w:lineRule="auto"/>
        <w:ind w:firstLine="566" w:firstLineChars="236"/>
        <w:rPr>
          <w:rFonts w:ascii="宋体" w:hAnsi="宋体" w:eastAsia="宋体" w:cs="Times New Roman"/>
          <w:sz w:val="24"/>
          <w:szCs w:val="24"/>
        </w:rPr>
      </w:pPr>
      <w:r>
        <w:rPr>
          <w:rFonts w:ascii="宋体" w:hAnsi="宋体" w:eastAsia="宋体" w:cs="Times New Roman"/>
          <w:sz w:val="24"/>
          <w:szCs w:val="24"/>
        </w:rPr>
        <w:t>在认证过程中甲方因乙方责任</w:t>
      </w:r>
      <w:r>
        <w:rPr>
          <w:rFonts w:hint="eastAsia" w:ascii="宋体" w:hAnsi="宋体" w:eastAsia="宋体" w:cs="Times New Roman"/>
          <w:sz w:val="24"/>
          <w:szCs w:val="24"/>
        </w:rPr>
        <w:t>受到</w:t>
      </w:r>
      <w:r>
        <w:rPr>
          <w:rFonts w:ascii="宋体" w:hAnsi="宋体" w:eastAsia="宋体" w:cs="Times New Roman"/>
          <w:sz w:val="24"/>
          <w:szCs w:val="24"/>
        </w:rPr>
        <w:t>的任何损失，其索赔</w:t>
      </w:r>
      <w:r>
        <w:rPr>
          <w:rFonts w:hint="eastAsia" w:ascii="宋体" w:hAnsi="宋体" w:eastAsia="宋体" w:cs="Times New Roman"/>
          <w:sz w:val="24"/>
          <w:szCs w:val="24"/>
        </w:rPr>
        <w:t>金额</w:t>
      </w:r>
      <w:r>
        <w:rPr>
          <w:rFonts w:ascii="宋体" w:hAnsi="宋体" w:eastAsia="宋体" w:cs="Times New Roman"/>
          <w:sz w:val="24"/>
          <w:szCs w:val="24"/>
        </w:rPr>
        <w:t>不得超过甲方向乙方交纳的认证费；乙方将不承担超出认证费以外的任何损失赔偿。</w:t>
      </w:r>
      <w:r>
        <w:rPr>
          <w:rFonts w:hint="eastAsia" w:ascii="宋体" w:hAnsi="宋体" w:eastAsia="宋体" w:cs="Times New Roman"/>
          <w:sz w:val="24"/>
          <w:szCs w:val="24"/>
        </w:rPr>
        <w:t>发生不可抗力的情况时，双方均不承担违约责任。</w:t>
      </w:r>
    </w:p>
    <w:p>
      <w:pPr>
        <w:spacing w:line="360" w:lineRule="auto"/>
        <w:ind w:left="995" w:leftChars="1" w:hanging="993" w:hangingChars="412"/>
        <w:jc w:val="left"/>
        <w:rPr>
          <w:rFonts w:ascii="宋体" w:hAnsi="宋体" w:eastAsia="宋体" w:cs="Times New Roman"/>
          <w:b/>
          <w:bCs/>
          <w:sz w:val="24"/>
          <w:szCs w:val="24"/>
        </w:rPr>
      </w:pPr>
      <w:r>
        <w:rPr>
          <w:rFonts w:hint="eastAsia" w:ascii="宋体" w:hAnsi="宋体" w:eastAsia="宋体" w:cs="Times New Roman"/>
          <w:b/>
          <w:bCs/>
          <w:sz w:val="24"/>
          <w:szCs w:val="24"/>
        </w:rPr>
        <w:t>第八条  争议处理</w:t>
      </w:r>
    </w:p>
    <w:p>
      <w:pPr>
        <w:spacing w:line="360" w:lineRule="auto"/>
        <w:ind w:left="2" w:firstLine="564" w:firstLineChars="235"/>
        <w:jc w:val="left"/>
        <w:rPr>
          <w:rFonts w:ascii="宋体" w:hAnsi="宋体" w:eastAsia="宋体" w:cs="Times New Roman"/>
          <w:sz w:val="24"/>
          <w:szCs w:val="24"/>
        </w:rPr>
      </w:pPr>
      <w:r>
        <w:rPr>
          <w:rFonts w:ascii="宋体" w:hAnsi="宋体" w:eastAsia="宋体" w:cs="Times New Roman"/>
          <w:sz w:val="24"/>
          <w:szCs w:val="24"/>
        </w:rPr>
        <w:t>因本合同所发生的争议，甲乙双方协商解决。协商解决不成，</w:t>
      </w:r>
      <w:r>
        <w:rPr>
          <w:rFonts w:hint="eastAsia" w:ascii="宋体" w:hAnsi="宋体" w:eastAsia="宋体" w:cs="Times New Roman"/>
          <w:sz w:val="24"/>
          <w:szCs w:val="24"/>
        </w:rPr>
        <w:t>可以向乙方所在地人民法院提起诉讼。</w:t>
      </w:r>
    </w:p>
    <w:p>
      <w:pPr>
        <w:spacing w:line="360" w:lineRule="auto"/>
        <w:ind w:left="995" w:leftChars="1" w:hanging="993" w:hangingChars="412"/>
        <w:jc w:val="left"/>
        <w:rPr>
          <w:rFonts w:ascii="宋体" w:hAnsi="宋体" w:eastAsia="宋体"/>
          <w:b/>
          <w:bCs/>
          <w:sz w:val="24"/>
          <w:szCs w:val="24"/>
        </w:rPr>
      </w:pPr>
      <w:r>
        <w:rPr>
          <w:rFonts w:hint="eastAsia" w:ascii="宋体" w:hAnsi="宋体" w:eastAsia="宋体"/>
          <w:b/>
          <w:bCs/>
          <w:sz w:val="24"/>
          <w:szCs w:val="24"/>
        </w:rPr>
        <w:t>第九条  合同变更</w:t>
      </w:r>
    </w:p>
    <w:p>
      <w:pPr>
        <w:spacing w:line="360" w:lineRule="auto"/>
        <w:ind w:left="2" w:firstLine="565"/>
        <w:jc w:val="left"/>
        <w:rPr>
          <w:rFonts w:ascii="宋体" w:hAnsi="宋体" w:eastAsia="宋体" w:cs="Times New Roman"/>
          <w:sz w:val="24"/>
          <w:szCs w:val="24"/>
        </w:rPr>
      </w:pPr>
      <w:r>
        <w:rPr>
          <w:rFonts w:ascii="宋体" w:hAnsi="宋体" w:eastAsia="宋体" w:cs="Times New Roman"/>
          <w:sz w:val="24"/>
          <w:szCs w:val="24"/>
        </w:rPr>
        <w:t>在合同有效期内，因合同一方提出变更合同条款时，经双方协商一致，应签署《合同更改补充协议》。补充协议中新条款生效后，本合同中与其相抵触的条款失效。《合同更改补充协议》与本合同具有同等的法律效力。</w:t>
      </w:r>
    </w:p>
    <w:p>
      <w:pPr>
        <w:spacing w:line="360" w:lineRule="auto"/>
        <w:ind w:left="995" w:leftChars="1" w:hanging="993" w:hangingChars="412"/>
        <w:jc w:val="left"/>
        <w:rPr>
          <w:rFonts w:ascii="宋体" w:hAnsi="宋体" w:eastAsia="宋体"/>
          <w:b/>
          <w:bCs/>
          <w:sz w:val="24"/>
          <w:szCs w:val="24"/>
        </w:rPr>
      </w:pPr>
      <w:r>
        <w:rPr>
          <w:rFonts w:hint="eastAsia" w:ascii="宋体" w:hAnsi="宋体" w:eastAsia="宋体"/>
          <w:b/>
          <w:bCs/>
          <w:sz w:val="24"/>
          <w:szCs w:val="24"/>
        </w:rPr>
        <w:t xml:space="preserve">第十条  </w:t>
      </w:r>
      <w:r>
        <w:rPr>
          <w:rFonts w:ascii="宋体" w:hAnsi="宋体" w:eastAsia="宋体"/>
          <w:b/>
          <w:bCs/>
          <w:sz w:val="24"/>
          <w:szCs w:val="24"/>
        </w:rPr>
        <w:t>合同生效、违约、终止和期限</w:t>
      </w:r>
    </w:p>
    <w:p>
      <w:pPr>
        <w:pStyle w:val="14"/>
        <w:numPr>
          <w:ilvl w:val="0"/>
          <w:numId w:val="4"/>
        </w:numPr>
        <w:tabs>
          <w:tab w:val="left" w:pos="567"/>
        </w:tabs>
        <w:spacing w:line="360" w:lineRule="auto"/>
        <w:ind w:firstLineChars="0"/>
        <w:jc w:val="left"/>
        <w:rPr>
          <w:rFonts w:ascii="宋体" w:hAnsi="宋体"/>
          <w:sz w:val="24"/>
        </w:rPr>
      </w:pPr>
      <w:r>
        <w:rPr>
          <w:rFonts w:ascii="宋体" w:hAnsi="宋体"/>
          <w:sz w:val="24"/>
        </w:rPr>
        <w:t>本合同一式两份，甲乙双方签字盖章完成签署之日起生效，甲乙双方各执一份。</w:t>
      </w:r>
    </w:p>
    <w:p>
      <w:pPr>
        <w:numPr>
          <w:ilvl w:val="0"/>
          <w:numId w:val="4"/>
        </w:numPr>
        <w:tabs>
          <w:tab w:val="left" w:pos="567"/>
        </w:tabs>
        <w:spacing w:line="360" w:lineRule="auto"/>
        <w:ind w:left="425" w:hanging="424" w:hangingChars="177"/>
        <w:jc w:val="left"/>
        <w:rPr>
          <w:rFonts w:ascii="宋体" w:hAnsi="宋体" w:eastAsia="宋体"/>
          <w:sz w:val="24"/>
          <w:szCs w:val="24"/>
        </w:rPr>
      </w:pPr>
      <w:r>
        <w:rPr>
          <w:rFonts w:hint="eastAsia" w:ascii="宋体" w:hAnsi="宋体" w:eastAsia="宋体"/>
          <w:sz w:val="24"/>
          <w:szCs w:val="24"/>
        </w:rPr>
        <w:t>本合同自签定之日起至获证后三年有效</w:t>
      </w:r>
      <w:r>
        <w:rPr>
          <w:rFonts w:ascii="宋体" w:hAnsi="宋体" w:eastAsia="宋体"/>
          <w:sz w:val="24"/>
          <w:szCs w:val="24"/>
        </w:rPr>
        <w:t>。任何一方欲</w:t>
      </w:r>
      <w:r>
        <w:rPr>
          <w:rFonts w:hint="eastAsia" w:ascii="宋体" w:hAnsi="宋体" w:eastAsia="宋体"/>
          <w:sz w:val="24"/>
          <w:szCs w:val="24"/>
        </w:rPr>
        <w:t>终止</w:t>
      </w:r>
      <w:r>
        <w:rPr>
          <w:rFonts w:ascii="宋体" w:hAnsi="宋体" w:eastAsia="宋体"/>
          <w:sz w:val="24"/>
          <w:szCs w:val="24"/>
        </w:rPr>
        <w:t>本合同须提前30日书面通知对方，双方协商一致后方得</w:t>
      </w:r>
      <w:r>
        <w:rPr>
          <w:rFonts w:hint="eastAsia" w:ascii="宋体" w:hAnsi="宋体" w:eastAsia="宋体"/>
          <w:sz w:val="24"/>
          <w:szCs w:val="24"/>
        </w:rPr>
        <w:t>终</w:t>
      </w:r>
      <w:r>
        <w:rPr>
          <w:rFonts w:ascii="宋体" w:hAnsi="宋体" w:eastAsia="宋体"/>
          <w:sz w:val="24"/>
          <w:szCs w:val="24"/>
        </w:rPr>
        <w:t>止。</w:t>
      </w:r>
    </w:p>
    <w:p>
      <w:pPr>
        <w:numPr>
          <w:ilvl w:val="0"/>
          <w:numId w:val="4"/>
        </w:numPr>
        <w:tabs>
          <w:tab w:val="left" w:pos="567"/>
        </w:tabs>
        <w:spacing w:line="360" w:lineRule="auto"/>
        <w:ind w:left="425" w:hanging="424" w:hangingChars="177"/>
        <w:jc w:val="left"/>
        <w:rPr>
          <w:rFonts w:ascii="宋体" w:hAnsi="宋体" w:eastAsia="宋体"/>
          <w:sz w:val="24"/>
          <w:szCs w:val="24"/>
        </w:rPr>
      </w:pPr>
      <w:r>
        <w:rPr>
          <w:rFonts w:ascii="宋体" w:hAnsi="宋体" w:eastAsia="宋体"/>
          <w:sz w:val="24"/>
          <w:szCs w:val="24"/>
        </w:rPr>
        <w:t>下列情况下，合同自然终止失效：</w:t>
      </w:r>
    </w:p>
    <w:p>
      <w:pPr>
        <w:pStyle w:val="14"/>
        <w:numPr>
          <w:ilvl w:val="0"/>
          <w:numId w:val="5"/>
        </w:numPr>
        <w:tabs>
          <w:tab w:val="left" w:pos="567"/>
        </w:tabs>
        <w:spacing w:line="360" w:lineRule="auto"/>
        <w:ind w:firstLineChars="0"/>
        <w:jc w:val="left"/>
        <w:rPr>
          <w:rFonts w:ascii="宋体" w:hAnsi="宋体"/>
          <w:sz w:val="24"/>
        </w:rPr>
      </w:pPr>
      <w:r>
        <w:rPr>
          <w:rFonts w:ascii="宋体" w:hAnsi="宋体"/>
          <w:sz w:val="24"/>
        </w:rPr>
        <w:t>乙方对甲方的认证结论为不</w:t>
      </w:r>
      <w:r>
        <w:rPr>
          <w:rFonts w:hint="eastAsia" w:ascii="宋体" w:hAnsi="宋体"/>
          <w:sz w:val="24"/>
        </w:rPr>
        <w:t>通过时</w:t>
      </w:r>
      <w:r>
        <w:rPr>
          <w:rFonts w:ascii="宋体" w:hAnsi="宋体"/>
          <w:sz w:val="24"/>
        </w:rPr>
        <w:t>；</w:t>
      </w:r>
    </w:p>
    <w:p>
      <w:pPr>
        <w:pStyle w:val="14"/>
        <w:numPr>
          <w:ilvl w:val="0"/>
          <w:numId w:val="5"/>
        </w:numPr>
        <w:spacing w:line="360" w:lineRule="auto"/>
        <w:ind w:left="426" w:firstLine="0" w:firstLineChars="0"/>
        <w:jc w:val="left"/>
        <w:rPr>
          <w:rFonts w:ascii="宋体" w:hAnsi="宋体"/>
          <w:sz w:val="24"/>
        </w:rPr>
      </w:pPr>
      <w:r>
        <w:rPr>
          <w:rFonts w:ascii="宋体" w:hAnsi="宋体"/>
          <w:sz w:val="24"/>
        </w:rPr>
        <w:t>认证证书有效期满三年时，双方未续约</w:t>
      </w:r>
      <w:r>
        <w:rPr>
          <w:rFonts w:hint="eastAsia" w:ascii="宋体" w:hAnsi="宋体"/>
          <w:sz w:val="24"/>
        </w:rPr>
        <w:t>。</w:t>
      </w:r>
    </w:p>
    <w:p>
      <w:pPr>
        <w:pStyle w:val="14"/>
        <w:widowControl w:val="0"/>
        <w:numPr>
          <w:ilvl w:val="0"/>
          <w:numId w:val="0"/>
        </w:numPr>
        <w:spacing w:line="360" w:lineRule="auto"/>
        <w:jc w:val="left"/>
        <w:rPr>
          <w:rFonts w:hint="eastAsia" w:ascii="宋体" w:hAnsi="宋体"/>
          <w:sz w:val="24"/>
        </w:rPr>
      </w:pPr>
    </w:p>
    <w:p>
      <w:pPr>
        <w:pStyle w:val="14"/>
        <w:widowControl w:val="0"/>
        <w:numPr>
          <w:ilvl w:val="0"/>
          <w:numId w:val="0"/>
        </w:numPr>
        <w:spacing w:line="360" w:lineRule="auto"/>
        <w:jc w:val="left"/>
        <w:rPr>
          <w:rFonts w:hint="eastAsia" w:ascii="宋体" w:hAnsi="宋体"/>
          <w:sz w:val="24"/>
        </w:rPr>
      </w:pPr>
    </w:p>
    <w:tbl>
      <w:tblPr>
        <w:tblStyle w:val="10"/>
        <w:tblpPr w:leftFromText="180" w:rightFromText="180" w:vertAnchor="text" w:horzAnchor="margin" w:tblpY="313"/>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68"/>
        <w:gridCol w:w="4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trPr>
        <w:tc>
          <w:tcPr>
            <w:tcW w:w="4968" w:type="dxa"/>
            <w:tcBorders>
              <w:top w:val="nil"/>
              <w:left w:val="nil"/>
              <w:bottom w:val="nil"/>
              <w:right w:val="nil"/>
            </w:tcBorders>
          </w:tcPr>
          <w:p>
            <w:pPr>
              <w:spacing w:line="720" w:lineRule="auto"/>
              <w:jc w:val="left"/>
              <w:rPr>
                <w:rFonts w:ascii="宋体" w:hAnsi="宋体" w:eastAsia="宋体"/>
                <w:sz w:val="24"/>
                <w:szCs w:val="24"/>
              </w:rPr>
            </w:pPr>
            <w:r>
              <w:rPr>
                <w:rFonts w:hint="eastAsia" w:ascii="宋体" w:hAnsi="宋体" w:eastAsia="宋体"/>
                <w:sz w:val="24"/>
                <w:szCs w:val="24"/>
              </w:rPr>
              <w:t>甲方名称</w:t>
            </w:r>
            <w:r>
              <w:rPr>
                <w:rFonts w:hint="eastAsia" w:ascii="宋体" w:hAnsi="宋体" w:eastAsia="宋体"/>
                <w:sz w:val="24"/>
                <w:szCs w:val="24"/>
                <w:lang w:eastAsia="zh-CN"/>
              </w:rPr>
              <w:t>（</w:t>
            </w:r>
            <w:r>
              <w:rPr>
                <w:rFonts w:hint="eastAsia" w:ascii="宋体" w:hAnsi="宋体" w:eastAsia="宋体"/>
                <w:sz w:val="24"/>
                <w:szCs w:val="24"/>
                <w:lang w:val="en-US" w:eastAsia="zh-CN"/>
              </w:rPr>
              <w:t>盖章</w:t>
            </w:r>
            <w:r>
              <w:rPr>
                <w:rFonts w:hint="eastAsia" w:ascii="宋体" w:hAnsi="宋体" w:eastAsia="宋体"/>
                <w:sz w:val="24"/>
                <w:szCs w:val="24"/>
                <w:lang w:eastAsia="zh-CN"/>
              </w:rPr>
              <w:t>）</w:t>
            </w:r>
            <w:r>
              <w:rPr>
                <w:rFonts w:hint="eastAsia" w:ascii="宋体" w:hAnsi="宋体" w:eastAsia="宋体"/>
                <w:sz w:val="24"/>
                <w:szCs w:val="24"/>
              </w:rPr>
              <w:t>：</w:t>
            </w:r>
          </w:p>
        </w:tc>
        <w:tc>
          <w:tcPr>
            <w:tcW w:w="4320" w:type="dxa"/>
            <w:tcBorders>
              <w:top w:val="nil"/>
              <w:left w:val="nil"/>
              <w:bottom w:val="nil"/>
              <w:right w:val="nil"/>
            </w:tcBorders>
          </w:tcPr>
          <w:p>
            <w:pPr>
              <w:spacing w:line="720" w:lineRule="auto"/>
              <w:jc w:val="left"/>
              <w:rPr>
                <w:rFonts w:ascii="宋体" w:hAnsi="宋体" w:eastAsia="宋体"/>
                <w:sz w:val="24"/>
                <w:szCs w:val="24"/>
              </w:rPr>
            </w:pPr>
            <w:r>
              <w:rPr>
                <w:rFonts w:hint="eastAsia" w:ascii="宋体" w:hAnsi="宋体" w:eastAsia="宋体"/>
                <w:sz w:val="24"/>
                <w:szCs w:val="24"/>
              </w:rPr>
              <w:t>乙方名称：北京中鼎乾元认证有限公司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2" w:hRule="atLeast"/>
        </w:trPr>
        <w:tc>
          <w:tcPr>
            <w:tcW w:w="4968" w:type="dxa"/>
            <w:vAlign w:val="center"/>
          </w:tcPr>
          <w:p>
            <w:pPr>
              <w:spacing w:line="720" w:lineRule="auto"/>
              <w:jc w:val="left"/>
              <w:rPr>
                <w:rFonts w:ascii="宋体" w:hAnsi="宋体" w:eastAsia="宋体"/>
                <w:sz w:val="24"/>
                <w:szCs w:val="24"/>
              </w:rPr>
            </w:pPr>
            <w:r>
              <w:rPr>
                <w:rFonts w:hint="eastAsia" w:ascii="宋体" w:hAnsi="宋体" w:eastAsia="宋体"/>
                <w:sz w:val="24"/>
                <w:szCs w:val="24"/>
              </w:rPr>
              <w:t>甲方代表签字：</w:t>
            </w:r>
          </w:p>
        </w:tc>
        <w:tc>
          <w:tcPr>
            <w:tcW w:w="4320" w:type="dxa"/>
            <w:vAlign w:val="center"/>
          </w:tcPr>
          <w:p>
            <w:pPr>
              <w:spacing w:line="720" w:lineRule="auto"/>
              <w:jc w:val="left"/>
              <w:rPr>
                <w:rFonts w:ascii="宋体" w:hAnsi="宋体" w:eastAsia="宋体"/>
                <w:sz w:val="24"/>
                <w:szCs w:val="24"/>
              </w:rPr>
            </w:pPr>
            <w:r>
              <w:rPr>
                <w:rFonts w:hint="eastAsia" w:ascii="宋体" w:hAnsi="宋体" w:eastAsia="宋体"/>
                <w:sz w:val="24"/>
                <w:szCs w:val="24"/>
              </w:rPr>
              <w:t>乙方代表签字：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0" w:hRule="atLeast"/>
        </w:trPr>
        <w:tc>
          <w:tcPr>
            <w:tcW w:w="4968" w:type="dxa"/>
            <w:vAlign w:val="center"/>
          </w:tcPr>
          <w:p>
            <w:pPr>
              <w:spacing w:line="720" w:lineRule="auto"/>
              <w:jc w:val="left"/>
              <w:rPr>
                <w:rFonts w:ascii="宋体" w:hAnsi="宋体" w:eastAsia="宋体"/>
                <w:sz w:val="24"/>
                <w:szCs w:val="24"/>
              </w:rPr>
            </w:pPr>
            <w:r>
              <w:rPr>
                <w:rFonts w:hint="eastAsia" w:ascii="宋体" w:hAnsi="宋体" w:eastAsia="宋体"/>
                <w:sz w:val="24"/>
                <w:szCs w:val="24"/>
              </w:rPr>
              <w:t>日    期：</w:t>
            </w:r>
          </w:p>
        </w:tc>
        <w:tc>
          <w:tcPr>
            <w:tcW w:w="4320" w:type="dxa"/>
            <w:vAlign w:val="center"/>
          </w:tcPr>
          <w:p>
            <w:pPr>
              <w:spacing w:line="720" w:lineRule="auto"/>
              <w:jc w:val="left"/>
              <w:rPr>
                <w:rFonts w:ascii="宋体" w:hAnsi="宋体" w:eastAsia="宋体"/>
                <w:sz w:val="24"/>
                <w:szCs w:val="24"/>
              </w:rPr>
            </w:pPr>
            <w:r>
              <w:rPr>
                <w:rFonts w:hint="eastAsia" w:ascii="宋体" w:hAnsi="宋体" w:eastAsia="宋体"/>
                <w:sz w:val="24"/>
                <w:szCs w:val="24"/>
              </w:rPr>
              <w:t>日    期：</w:t>
            </w:r>
          </w:p>
        </w:tc>
      </w:tr>
    </w:tbl>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sectPr>
      <w:headerReference r:id="rId5" w:type="first"/>
      <w:footerReference r:id="rId8" w:type="first"/>
      <w:headerReference r:id="rId3" w:type="default"/>
      <w:footerReference r:id="rId6" w:type="default"/>
      <w:headerReference r:id="rId4" w:type="even"/>
      <w:footerReference r:id="rId7" w:type="even"/>
      <w:pgSz w:w="11906" w:h="16838"/>
      <w:pgMar w:top="737" w:right="1021" w:bottom="737" w:left="1021" w:header="567" w:footer="345"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0"/>
      <w:tblW w:w="9892" w:type="dxa"/>
      <w:tblInd w:w="108" w:type="dxa"/>
      <w:tblBorders>
        <w:top w:val="thickThinSmallGap" w:color="auto" w:sz="2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05"/>
      <w:gridCol w:w="7987"/>
    </w:tblGrid>
    <w:tr>
      <w:tblPrEx>
        <w:tblBorders>
          <w:top w:val="thickThinSmallGap" w:color="auto" w:sz="2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905" w:type="dxa"/>
          <w:tcBorders>
            <w:top w:val="thickThinSmallGap" w:color="auto" w:sz="24" w:space="0"/>
          </w:tcBorders>
        </w:tcPr>
        <w:p>
          <w:pPr>
            <w:pStyle w:val="6"/>
            <w:ind w:left="-351" w:leftChars="-167" w:firstLine="361" w:firstLineChars="200"/>
            <w:rPr>
              <w:rFonts w:ascii="黑体" w:eastAsia="黑体"/>
              <w:b/>
              <w:bCs/>
            </w:rPr>
          </w:pPr>
        </w:p>
      </w:tc>
      <w:tc>
        <w:tcPr>
          <w:tcW w:w="7987" w:type="dxa"/>
          <w:tcBorders>
            <w:top w:val="thickThinSmallGap" w:color="auto" w:sz="24" w:space="0"/>
          </w:tcBorders>
        </w:tcPr>
        <w:p>
          <w:pPr>
            <w:pStyle w:val="6"/>
            <w:tabs>
              <w:tab w:val="left" w:pos="2445"/>
            </w:tabs>
            <w:ind w:firstLine="90" w:firstLineChars="50"/>
            <w:rPr>
              <w:rFonts w:ascii="黑体" w:eastAsia="黑体"/>
              <w:b/>
              <w:bCs/>
            </w:rPr>
          </w:pPr>
          <w:r>
            <w:rPr>
              <w:rFonts w:hint="eastAsia" w:ascii="黑体" w:eastAsia="黑体" w:cs="黑体"/>
              <w:b/>
              <w:bCs/>
            </w:rPr>
            <w:t>发布</w:t>
          </w:r>
          <w:r>
            <w:rPr>
              <w:rFonts w:ascii="黑体" w:eastAsia="黑体" w:cs="黑体"/>
              <w:b/>
              <w:bCs/>
            </w:rPr>
            <w:t>/</w:t>
          </w:r>
          <w:r>
            <w:rPr>
              <w:rFonts w:hint="eastAsia" w:ascii="黑体" w:eastAsia="黑体" w:cs="黑体"/>
              <w:b/>
              <w:bCs/>
            </w:rPr>
            <w:t>修订日期：</w:t>
          </w:r>
          <w:r>
            <w:rPr>
              <w:rFonts w:ascii="黑体" w:eastAsia="黑体" w:cs="黑体"/>
              <w:b/>
              <w:bCs/>
            </w:rPr>
            <w:t>202</w:t>
          </w:r>
          <w:r>
            <w:rPr>
              <w:rFonts w:hint="eastAsia" w:ascii="黑体" w:eastAsia="黑体" w:cs="黑体"/>
              <w:b/>
              <w:bCs/>
              <w:lang w:val="en-US" w:eastAsia="zh-CN"/>
            </w:rPr>
            <w:t>3</w:t>
          </w:r>
          <w:r>
            <w:rPr>
              <w:rFonts w:ascii="黑体" w:eastAsia="黑体" w:cs="黑体"/>
              <w:b/>
              <w:bCs/>
            </w:rPr>
            <w:t>-0</w:t>
          </w:r>
          <w:r>
            <w:rPr>
              <w:rFonts w:hint="eastAsia" w:ascii="黑体" w:eastAsia="黑体" w:cs="黑体"/>
              <w:b/>
              <w:bCs/>
              <w:lang w:val="en-US" w:eastAsia="zh-CN"/>
            </w:rPr>
            <w:t>8</w:t>
          </w:r>
          <w:r>
            <w:rPr>
              <w:rFonts w:ascii="黑体" w:eastAsia="黑体" w:cs="黑体"/>
              <w:b/>
              <w:bCs/>
            </w:rPr>
            <w:t>-</w:t>
          </w:r>
          <w:r>
            <w:rPr>
              <w:rFonts w:hint="eastAsia" w:ascii="黑体" w:eastAsia="黑体" w:cs="黑体"/>
              <w:b/>
              <w:bCs/>
              <w:lang w:val="en-US" w:eastAsia="zh-CN"/>
            </w:rPr>
            <w:t>18</w:t>
          </w:r>
          <w:r>
            <w:rPr>
              <w:rFonts w:hint="eastAsia" w:ascii="黑体" w:eastAsia="黑体" w:cs="黑体"/>
              <w:b/>
              <w:bCs/>
            </w:rPr>
            <w:t xml:space="preserve">    </w:t>
          </w:r>
          <w:r>
            <w:rPr>
              <w:rFonts w:ascii="黑体" w:eastAsia="黑体" w:cs="黑体"/>
              <w:b/>
              <w:bCs/>
            </w:rPr>
            <w:t xml:space="preserve">  </w:t>
          </w:r>
          <w:r>
            <w:rPr>
              <w:rFonts w:hint="eastAsia" w:ascii="黑体" w:eastAsia="黑体" w:cs="黑体"/>
              <w:b/>
              <w:bCs/>
            </w:rPr>
            <w:t>实施日期：</w:t>
          </w:r>
          <w:r>
            <w:rPr>
              <w:rFonts w:ascii="黑体" w:eastAsia="黑体" w:cs="黑体"/>
              <w:b/>
              <w:bCs/>
            </w:rPr>
            <w:t>202</w:t>
          </w:r>
          <w:r>
            <w:rPr>
              <w:rFonts w:hint="eastAsia" w:ascii="黑体" w:eastAsia="黑体" w:cs="黑体"/>
              <w:b/>
              <w:bCs/>
              <w:lang w:val="en-US" w:eastAsia="zh-CN"/>
            </w:rPr>
            <w:t>3</w:t>
          </w:r>
          <w:r>
            <w:rPr>
              <w:rFonts w:ascii="黑体" w:eastAsia="黑体" w:cs="黑体"/>
              <w:b/>
              <w:bCs/>
            </w:rPr>
            <w:t>-0</w:t>
          </w:r>
          <w:r>
            <w:rPr>
              <w:rFonts w:hint="eastAsia" w:ascii="黑体" w:eastAsia="黑体" w:cs="黑体"/>
              <w:b/>
              <w:bCs/>
              <w:lang w:val="en-US" w:eastAsia="zh-CN"/>
            </w:rPr>
            <w:t>8</w:t>
          </w:r>
          <w:r>
            <w:rPr>
              <w:rFonts w:ascii="黑体" w:eastAsia="黑体" w:cs="黑体"/>
              <w:b/>
              <w:bCs/>
            </w:rPr>
            <w:t>-</w:t>
          </w:r>
          <w:r>
            <w:rPr>
              <w:rFonts w:hint="eastAsia" w:ascii="黑体" w:eastAsia="黑体" w:cs="黑体"/>
              <w:b/>
              <w:bCs/>
              <w:lang w:val="en-US" w:eastAsia="zh-CN"/>
            </w:rPr>
            <w:t>18</w:t>
          </w:r>
          <w:r>
            <w:rPr>
              <w:rFonts w:hint="eastAsia" w:ascii="黑体" w:eastAsia="黑体" w:cs="黑体"/>
              <w:b/>
              <w:bCs/>
            </w:rPr>
            <w:t xml:space="preserve"> </w:t>
          </w:r>
          <w:r>
            <w:rPr>
              <w:rFonts w:ascii="黑体" w:eastAsia="黑体" w:cs="黑体"/>
              <w:b/>
              <w:bCs/>
            </w:rPr>
            <w:t xml:space="preserve">              </w:t>
          </w:r>
          <w:r>
            <w:rPr>
              <w:rFonts w:hint="eastAsia" w:ascii="黑体" w:eastAsia="黑体" w:cs="黑体"/>
              <w:b/>
              <w:bCs/>
            </w:rPr>
            <w:t>第</w:t>
          </w:r>
          <w:r>
            <w:rPr>
              <w:rFonts w:ascii="黑体" w:eastAsia="黑体" w:cs="黑体"/>
              <w:b/>
              <w:bCs/>
            </w:rPr>
            <w:fldChar w:fldCharType="begin"/>
          </w:r>
          <w:r>
            <w:rPr>
              <w:rFonts w:ascii="黑体" w:eastAsia="黑体" w:cs="黑体"/>
              <w:b/>
              <w:bCs/>
            </w:rPr>
            <w:instrText xml:space="preserve"> PAGE </w:instrText>
          </w:r>
          <w:r>
            <w:rPr>
              <w:rFonts w:ascii="黑体" w:eastAsia="黑体" w:cs="黑体"/>
              <w:b/>
              <w:bCs/>
            </w:rPr>
            <w:fldChar w:fldCharType="separate"/>
          </w:r>
          <w:r>
            <w:rPr>
              <w:rFonts w:ascii="黑体" w:eastAsia="黑体" w:cs="黑体"/>
              <w:b/>
              <w:bCs/>
            </w:rPr>
            <w:t>1</w:t>
          </w:r>
          <w:r>
            <w:rPr>
              <w:rFonts w:ascii="黑体" w:eastAsia="黑体" w:cs="黑体"/>
              <w:b/>
              <w:bCs/>
            </w:rPr>
            <w:fldChar w:fldCharType="end"/>
          </w:r>
          <w:r>
            <w:rPr>
              <w:rFonts w:hint="eastAsia" w:ascii="黑体" w:eastAsia="黑体" w:cs="黑体"/>
              <w:b/>
              <w:bCs/>
            </w:rPr>
            <w:t>页共</w:t>
          </w:r>
          <w:r>
            <w:rPr>
              <w:rFonts w:ascii="黑体" w:eastAsia="黑体" w:cs="黑体"/>
              <w:b/>
              <w:bCs/>
            </w:rPr>
            <w:fldChar w:fldCharType="begin"/>
          </w:r>
          <w:r>
            <w:rPr>
              <w:rFonts w:ascii="黑体" w:eastAsia="黑体" w:cs="黑体"/>
              <w:b/>
              <w:bCs/>
            </w:rPr>
            <w:instrText xml:space="preserve"> NUMPAGES </w:instrText>
          </w:r>
          <w:r>
            <w:rPr>
              <w:rFonts w:ascii="黑体" w:eastAsia="黑体" w:cs="黑体"/>
              <w:b/>
              <w:bCs/>
            </w:rPr>
            <w:fldChar w:fldCharType="separate"/>
          </w:r>
          <w:r>
            <w:rPr>
              <w:rFonts w:ascii="黑体" w:eastAsia="黑体" w:cs="黑体"/>
              <w:b/>
              <w:bCs/>
            </w:rPr>
            <w:t>5</w:t>
          </w:r>
          <w:r>
            <w:rPr>
              <w:rFonts w:ascii="黑体" w:eastAsia="黑体" w:cs="黑体"/>
              <w:b/>
              <w:bCs/>
            </w:rPr>
            <w:fldChar w:fldCharType="end"/>
          </w:r>
          <w:r>
            <w:rPr>
              <w:rFonts w:hint="eastAsia" w:ascii="黑体" w:eastAsia="黑体" w:cs="黑体"/>
              <w:b/>
              <w:bCs/>
            </w:rPr>
            <w:t>页</w:t>
          </w:r>
        </w:p>
      </w:tc>
    </w:tr>
  </w:tbl>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ascii="宋体" w:hAnsi="宋体" w:eastAsia="宋体"/>
      </w:rPr>
    </w:pPr>
    <w:r>
      <w:drawing>
        <wp:anchor distT="0" distB="0" distL="114300" distR="114300" simplePos="0" relativeHeight="251660288" behindDoc="1" locked="0" layoutInCell="1" allowOverlap="1">
          <wp:simplePos x="0" y="0"/>
          <wp:positionH relativeFrom="column">
            <wp:posOffset>-63500</wp:posOffset>
          </wp:positionH>
          <wp:positionV relativeFrom="paragraph">
            <wp:posOffset>-125730</wp:posOffset>
          </wp:positionV>
          <wp:extent cx="455295" cy="306705"/>
          <wp:effectExtent l="0" t="0" r="1905" b="0"/>
          <wp:wrapNone/>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55295" cy="306705"/>
                  </a:xfrm>
                  <a:prstGeom prst="rect">
                    <a:avLst/>
                  </a:prstGeom>
                  <a:noFill/>
                  <a:ln w="9525">
                    <a:noFill/>
                    <a:miter lim="800000"/>
                    <a:headEnd/>
                    <a:tailEnd/>
                  </a:ln>
                </pic:spPr>
              </pic:pic>
            </a:graphicData>
          </a:graphic>
        </wp:anchor>
      </w:drawing>
    </w:r>
    <w:r>
      <w:rPr>
        <w:rFonts w:hint="eastAsia" w:ascii="黑体" w:eastAsia="黑体"/>
        <w:b/>
        <w:bCs/>
      </w:rPr>
      <w:t xml:space="preserve"> </w:t>
    </w:r>
    <w:r>
      <w:rPr>
        <w:rFonts w:ascii="黑体" w:eastAsia="黑体"/>
        <w:b/>
        <w:bCs/>
      </w:rPr>
      <w:t xml:space="preserve">    </w:t>
    </w:r>
    <w:r>
      <w:rPr>
        <w:rFonts w:hint="eastAsia" w:ascii="宋体" w:hAnsi="宋体" w:eastAsia="宋体"/>
        <w:b/>
        <w:bCs/>
      </w:rPr>
      <w:t>北京中鼎乾元认证有限公司</w:t>
    </w:r>
    <w:r>
      <w:rPr>
        <w:rFonts w:ascii="宋体" w:hAnsi="宋体" w:eastAsia="宋体"/>
      </w:rPr>
      <w:ptab w:relativeTo="margin" w:alignment="center" w:leader="none"/>
    </w:r>
    <w:r>
      <w:rPr>
        <w:rFonts w:ascii="宋体" w:hAnsi="宋体" w:eastAsia="宋体"/>
      </w:rPr>
      <w:ptab w:relativeTo="margin" w:alignment="right" w:leader="none"/>
    </w:r>
    <w:r>
      <w:rPr>
        <w:rFonts w:ascii="宋体" w:hAnsi="宋体" w:eastAsia="宋体"/>
      </w:rPr>
      <w:t xml:space="preserve"> ZDQY-GZJL-04-010-1</w:t>
    </w:r>
    <w:r>
      <w:rPr>
        <w:rFonts w:hint="eastAsia" w:ascii="宋体" w:hAnsi="宋体" w:eastAsia="宋体"/>
      </w:rPr>
      <w:t>（C</w:t>
    </w:r>
    <w:r>
      <w:rPr>
        <w:rFonts w:ascii="宋体" w:hAnsi="宋体" w:eastAsia="宋体"/>
      </w:rPr>
      <w:t>/</w:t>
    </w:r>
    <w:r>
      <w:rPr>
        <w:rFonts w:hint="eastAsia" w:ascii="宋体" w:hAnsi="宋体" w:eastAsia="宋体"/>
        <w:lang w:val="en-US" w:eastAsia="zh-CN"/>
      </w:rPr>
      <w:t>2</w:t>
    </w:r>
    <w:r>
      <w:rPr>
        <w:rFonts w:hint="eastAsia" w:ascii="宋体" w:hAnsi="宋体" w:eastAsia="宋体"/>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CD1A86"/>
    <w:multiLevelType w:val="multilevel"/>
    <w:tmpl w:val="2FCD1A86"/>
    <w:lvl w:ilvl="0" w:tentative="0">
      <w:start w:val="1"/>
      <w:numFmt w:val="lowerLetter"/>
      <w:lvlText w:val="%1."/>
      <w:lvlJc w:val="left"/>
      <w:pPr>
        <w:ind w:left="785" w:hanging="360"/>
      </w:pPr>
      <w:rPr>
        <w:rFonts w:hint="default"/>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1">
    <w:nsid w:val="58AC0D28"/>
    <w:multiLevelType w:val="multilevel"/>
    <w:tmpl w:val="58AC0D28"/>
    <w:lvl w:ilvl="0" w:tentative="0">
      <w:start w:val="1"/>
      <w:numFmt w:val="decimalEnclosedCircle"/>
      <w:lvlText w:val="%1"/>
      <w:lvlJc w:val="left"/>
      <w:pPr>
        <w:ind w:left="785" w:hanging="360"/>
      </w:pPr>
      <w:rPr>
        <w:rFonts w:hint="default"/>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2">
    <w:nsid w:val="59560CEB"/>
    <w:multiLevelType w:val="singleLevel"/>
    <w:tmpl w:val="59560CEB"/>
    <w:lvl w:ilvl="0" w:tentative="0">
      <w:start w:val="1"/>
      <w:numFmt w:val="decimal"/>
      <w:lvlText w:val="%1."/>
      <w:lvlJc w:val="left"/>
      <w:pPr>
        <w:ind w:left="425" w:hanging="425"/>
      </w:pPr>
      <w:rPr>
        <w:rFonts w:hint="default"/>
      </w:rPr>
    </w:lvl>
  </w:abstractNum>
  <w:abstractNum w:abstractNumId="3">
    <w:nsid w:val="59560D39"/>
    <w:multiLevelType w:val="singleLevel"/>
    <w:tmpl w:val="59560D39"/>
    <w:lvl w:ilvl="0" w:tentative="0">
      <w:start w:val="1"/>
      <w:numFmt w:val="decimal"/>
      <w:lvlText w:val="%1."/>
      <w:lvlJc w:val="left"/>
      <w:pPr>
        <w:ind w:left="425" w:hanging="425"/>
      </w:pPr>
      <w:rPr>
        <w:rFonts w:hint="default"/>
      </w:rPr>
    </w:lvl>
  </w:abstractNum>
  <w:abstractNum w:abstractNumId="4">
    <w:nsid w:val="746644DE"/>
    <w:multiLevelType w:val="multilevel"/>
    <w:tmpl w:val="746644D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ZlODk2OGZkOWM2Yzg2NTc4ZDZjZjg0MTliMTgyYjEifQ=="/>
  </w:docVars>
  <w:rsids>
    <w:rsidRoot w:val="00A860F8"/>
    <w:rsid w:val="00000A52"/>
    <w:rsid w:val="00012008"/>
    <w:rsid w:val="00016D38"/>
    <w:rsid w:val="00031181"/>
    <w:rsid w:val="000333F6"/>
    <w:rsid w:val="00041AAF"/>
    <w:rsid w:val="00061B56"/>
    <w:rsid w:val="0006483E"/>
    <w:rsid w:val="000810D9"/>
    <w:rsid w:val="000C1F80"/>
    <w:rsid w:val="000C33E1"/>
    <w:rsid w:val="000C5210"/>
    <w:rsid w:val="000C5E4F"/>
    <w:rsid w:val="000C6596"/>
    <w:rsid w:val="000E5597"/>
    <w:rsid w:val="000F7E1A"/>
    <w:rsid w:val="001026E0"/>
    <w:rsid w:val="00105B62"/>
    <w:rsid w:val="00111ABB"/>
    <w:rsid w:val="00121058"/>
    <w:rsid w:val="00125650"/>
    <w:rsid w:val="00136777"/>
    <w:rsid w:val="0014437B"/>
    <w:rsid w:val="00146607"/>
    <w:rsid w:val="00172FD1"/>
    <w:rsid w:val="00186D1F"/>
    <w:rsid w:val="00193C50"/>
    <w:rsid w:val="001A5063"/>
    <w:rsid w:val="001A561D"/>
    <w:rsid w:val="001C5E48"/>
    <w:rsid w:val="001C7363"/>
    <w:rsid w:val="001D35A4"/>
    <w:rsid w:val="001E57BA"/>
    <w:rsid w:val="001E6771"/>
    <w:rsid w:val="001F169A"/>
    <w:rsid w:val="002043DD"/>
    <w:rsid w:val="00221B49"/>
    <w:rsid w:val="00225AF3"/>
    <w:rsid w:val="0022756B"/>
    <w:rsid w:val="00255600"/>
    <w:rsid w:val="00265C66"/>
    <w:rsid w:val="00272C90"/>
    <w:rsid w:val="00276133"/>
    <w:rsid w:val="00284DC4"/>
    <w:rsid w:val="002C2CB7"/>
    <w:rsid w:val="002C6CB3"/>
    <w:rsid w:val="002E7138"/>
    <w:rsid w:val="0030378B"/>
    <w:rsid w:val="00317D63"/>
    <w:rsid w:val="00321FEC"/>
    <w:rsid w:val="0032555E"/>
    <w:rsid w:val="003270F8"/>
    <w:rsid w:val="0033301A"/>
    <w:rsid w:val="00347004"/>
    <w:rsid w:val="00354492"/>
    <w:rsid w:val="00363A40"/>
    <w:rsid w:val="003727BF"/>
    <w:rsid w:val="00380200"/>
    <w:rsid w:val="00381823"/>
    <w:rsid w:val="0038725E"/>
    <w:rsid w:val="00391383"/>
    <w:rsid w:val="003A1B6A"/>
    <w:rsid w:val="003B722E"/>
    <w:rsid w:val="003C0595"/>
    <w:rsid w:val="003C0D08"/>
    <w:rsid w:val="003C6DCD"/>
    <w:rsid w:val="003D02FC"/>
    <w:rsid w:val="003D606E"/>
    <w:rsid w:val="003D6F63"/>
    <w:rsid w:val="003E75BB"/>
    <w:rsid w:val="00407AAE"/>
    <w:rsid w:val="00410B50"/>
    <w:rsid w:val="00416E03"/>
    <w:rsid w:val="00420B1E"/>
    <w:rsid w:val="00446558"/>
    <w:rsid w:val="00456BB4"/>
    <w:rsid w:val="00467069"/>
    <w:rsid w:val="0046719D"/>
    <w:rsid w:val="00481C47"/>
    <w:rsid w:val="004A3D26"/>
    <w:rsid w:val="004A7F1A"/>
    <w:rsid w:val="004D1E76"/>
    <w:rsid w:val="004D3F06"/>
    <w:rsid w:val="004E15BC"/>
    <w:rsid w:val="004F451C"/>
    <w:rsid w:val="004F7CBD"/>
    <w:rsid w:val="005121C0"/>
    <w:rsid w:val="00532304"/>
    <w:rsid w:val="00540DFE"/>
    <w:rsid w:val="00541D85"/>
    <w:rsid w:val="00544AC5"/>
    <w:rsid w:val="0054658C"/>
    <w:rsid w:val="005520D0"/>
    <w:rsid w:val="005525AE"/>
    <w:rsid w:val="005528EF"/>
    <w:rsid w:val="00560166"/>
    <w:rsid w:val="005654B2"/>
    <w:rsid w:val="0057375A"/>
    <w:rsid w:val="005A7DB4"/>
    <w:rsid w:val="005C18D9"/>
    <w:rsid w:val="005C608D"/>
    <w:rsid w:val="005E3990"/>
    <w:rsid w:val="005F32A3"/>
    <w:rsid w:val="005F5684"/>
    <w:rsid w:val="005F5BFC"/>
    <w:rsid w:val="005F5DE1"/>
    <w:rsid w:val="006041C4"/>
    <w:rsid w:val="00607F63"/>
    <w:rsid w:val="00615276"/>
    <w:rsid w:val="00617A3B"/>
    <w:rsid w:val="00620EEE"/>
    <w:rsid w:val="0062614A"/>
    <w:rsid w:val="006312F6"/>
    <w:rsid w:val="00637590"/>
    <w:rsid w:val="00643829"/>
    <w:rsid w:val="006463ED"/>
    <w:rsid w:val="0065094D"/>
    <w:rsid w:val="006621DA"/>
    <w:rsid w:val="006631BB"/>
    <w:rsid w:val="00663228"/>
    <w:rsid w:val="00675000"/>
    <w:rsid w:val="006775F5"/>
    <w:rsid w:val="006A6850"/>
    <w:rsid w:val="006A6DA3"/>
    <w:rsid w:val="006B044D"/>
    <w:rsid w:val="006B2558"/>
    <w:rsid w:val="006C26B3"/>
    <w:rsid w:val="006D4647"/>
    <w:rsid w:val="006E057C"/>
    <w:rsid w:val="006E3C4B"/>
    <w:rsid w:val="006F74E9"/>
    <w:rsid w:val="00707687"/>
    <w:rsid w:val="00731047"/>
    <w:rsid w:val="0073785F"/>
    <w:rsid w:val="007412BF"/>
    <w:rsid w:val="007446E3"/>
    <w:rsid w:val="00745DEC"/>
    <w:rsid w:val="00755CE0"/>
    <w:rsid w:val="0075601A"/>
    <w:rsid w:val="00757A5A"/>
    <w:rsid w:val="00772174"/>
    <w:rsid w:val="00776219"/>
    <w:rsid w:val="007849B3"/>
    <w:rsid w:val="007861B3"/>
    <w:rsid w:val="00794AD3"/>
    <w:rsid w:val="00796028"/>
    <w:rsid w:val="007A10DC"/>
    <w:rsid w:val="007A7B8E"/>
    <w:rsid w:val="007A7D8F"/>
    <w:rsid w:val="007C1F4D"/>
    <w:rsid w:val="007C36C0"/>
    <w:rsid w:val="007C3F8C"/>
    <w:rsid w:val="007D0450"/>
    <w:rsid w:val="007E5865"/>
    <w:rsid w:val="007E7245"/>
    <w:rsid w:val="007F03C9"/>
    <w:rsid w:val="007F4D29"/>
    <w:rsid w:val="008005F8"/>
    <w:rsid w:val="00801D0A"/>
    <w:rsid w:val="00801F14"/>
    <w:rsid w:val="0080410A"/>
    <w:rsid w:val="00805FCD"/>
    <w:rsid w:val="00817558"/>
    <w:rsid w:val="0082194B"/>
    <w:rsid w:val="00827AAD"/>
    <w:rsid w:val="00832344"/>
    <w:rsid w:val="00834F19"/>
    <w:rsid w:val="00837ABE"/>
    <w:rsid w:val="00845616"/>
    <w:rsid w:val="00864F40"/>
    <w:rsid w:val="00870B86"/>
    <w:rsid w:val="008717FD"/>
    <w:rsid w:val="00874C3A"/>
    <w:rsid w:val="00886722"/>
    <w:rsid w:val="00894CD2"/>
    <w:rsid w:val="008952EF"/>
    <w:rsid w:val="008A2B72"/>
    <w:rsid w:val="008A5208"/>
    <w:rsid w:val="008B6910"/>
    <w:rsid w:val="008C0473"/>
    <w:rsid w:val="008C3CDA"/>
    <w:rsid w:val="008D24C1"/>
    <w:rsid w:val="008D72B4"/>
    <w:rsid w:val="008E3311"/>
    <w:rsid w:val="008F7276"/>
    <w:rsid w:val="00903BC6"/>
    <w:rsid w:val="00910B76"/>
    <w:rsid w:val="00914413"/>
    <w:rsid w:val="009318EC"/>
    <w:rsid w:val="00933A61"/>
    <w:rsid w:val="009345EE"/>
    <w:rsid w:val="0093642D"/>
    <w:rsid w:val="009364E8"/>
    <w:rsid w:val="009522C7"/>
    <w:rsid w:val="00965E95"/>
    <w:rsid w:val="0096655B"/>
    <w:rsid w:val="009708E0"/>
    <w:rsid w:val="009711EC"/>
    <w:rsid w:val="00975E3E"/>
    <w:rsid w:val="00981011"/>
    <w:rsid w:val="00985B6D"/>
    <w:rsid w:val="00990037"/>
    <w:rsid w:val="009A6EB1"/>
    <w:rsid w:val="009B3E83"/>
    <w:rsid w:val="009B5D5B"/>
    <w:rsid w:val="009C6B3C"/>
    <w:rsid w:val="009D0DCB"/>
    <w:rsid w:val="009D33D8"/>
    <w:rsid w:val="009D4709"/>
    <w:rsid w:val="009E0AB9"/>
    <w:rsid w:val="009E61BE"/>
    <w:rsid w:val="009F5EB4"/>
    <w:rsid w:val="009F7F39"/>
    <w:rsid w:val="00A01494"/>
    <w:rsid w:val="00A16F94"/>
    <w:rsid w:val="00A20841"/>
    <w:rsid w:val="00A27BF1"/>
    <w:rsid w:val="00A27EE4"/>
    <w:rsid w:val="00A361FF"/>
    <w:rsid w:val="00A36AA1"/>
    <w:rsid w:val="00A45CAE"/>
    <w:rsid w:val="00A535BD"/>
    <w:rsid w:val="00A72589"/>
    <w:rsid w:val="00A8098D"/>
    <w:rsid w:val="00A860F8"/>
    <w:rsid w:val="00AA714B"/>
    <w:rsid w:val="00AB7534"/>
    <w:rsid w:val="00AC0696"/>
    <w:rsid w:val="00AC2C6A"/>
    <w:rsid w:val="00AD4118"/>
    <w:rsid w:val="00AE03A0"/>
    <w:rsid w:val="00B046D2"/>
    <w:rsid w:val="00B0687C"/>
    <w:rsid w:val="00B141A3"/>
    <w:rsid w:val="00B14DB8"/>
    <w:rsid w:val="00B235EA"/>
    <w:rsid w:val="00B26828"/>
    <w:rsid w:val="00B3559C"/>
    <w:rsid w:val="00B358AA"/>
    <w:rsid w:val="00B50F8B"/>
    <w:rsid w:val="00B52BF9"/>
    <w:rsid w:val="00B53094"/>
    <w:rsid w:val="00B663D8"/>
    <w:rsid w:val="00B957A7"/>
    <w:rsid w:val="00B95BA8"/>
    <w:rsid w:val="00BA10F6"/>
    <w:rsid w:val="00BB4A01"/>
    <w:rsid w:val="00BC110E"/>
    <w:rsid w:val="00BC27CA"/>
    <w:rsid w:val="00BC7908"/>
    <w:rsid w:val="00BC7EF5"/>
    <w:rsid w:val="00BD3EFA"/>
    <w:rsid w:val="00BE1D7C"/>
    <w:rsid w:val="00BF210F"/>
    <w:rsid w:val="00C04E3A"/>
    <w:rsid w:val="00C14B57"/>
    <w:rsid w:val="00C21B7C"/>
    <w:rsid w:val="00C23819"/>
    <w:rsid w:val="00C252D0"/>
    <w:rsid w:val="00C539E8"/>
    <w:rsid w:val="00C6283E"/>
    <w:rsid w:val="00C67D49"/>
    <w:rsid w:val="00C80766"/>
    <w:rsid w:val="00C822B4"/>
    <w:rsid w:val="00C9227B"/>
    <w:rsid w:val="00CA103C"/>
    <w:rsid w:val="00CB58C0"/>
    <w:rsid w:val="00CB7343"/>
    <w:rsid w:val="00CC1C7F"/>
    <w:rsid w:val="00CD4738"/>
    <w:rsid w:val="00CE7028"/>
    <w:rsid w:val="00CF16D4"/>
    <w:rsid w:val="00CF325F"/>
    <w:rsid w:val="00CF7B25"/>
    <w:rsid w:val="00D05581"/>
    <w:rsid w:val="00D14F02"/>
    <w:rsid w:val="00D22F6D"/>
    <w:rsid w:val="00D56C92"/>
    <w:rsid w:val="00D60E1D"/>
    <w:rsid w:val="00D66FD3"/>
    <w:rsid w:val="00D869A4"/>
    <w:rsid w:val="00D925AC"/>
    <w:rsid w:val="00DA1442"/>
    <w:rsid w:val="00DA7A19"/>
    <w:rsid w:val="00DD6A21"/>
    <w:rsid w:val="00DE19AC"/>
    <w:rsid w:val="00DE2DF6"/>
    <w:rsid w:val="00DF48EB"/>
    <w:rsid w:val="00E11D09"/>
    <w:rsid w:val="00E16203"/>
    <w:rsid w:val="00E46EF2"/>
    <w:rsid w:val="00E474C9"/>
    <w:rsid w:val="00E5232F"/>
    <w:rsid w:val="00E54DC2"/>
    <w:rsid w:val="00E57D29"/>
    <w:rsid w:val="00E63E66"/>
    <w:rsid w:val="00E774FD"/>
    <w:rsid w:val="00EA4045"/>
    <w:rsid w:val="00EB3609"/>
    <w:rsid w:val="00F157F3"/>
    <w:rsid w:val="00F15C12"/>
    <w:rsid w:val="00F16F2F"/>
    <w:rsid w:val="00F2366E"/>
    <w:rsid w:val="00F321DC"/>
    <w:rsid w:val="00F36F0E"/>
    <w:rsid w:val="00F531ED"/>
    <w:rsid w:val="00F55666"/>
    <w:rsid w:val="00F5736F"/>
    <w:rsid w:val="00F6194C"/>
    <w:rsid w:val="00F64BED"/>
    <w:rsid w:val="00F64F5C"/>
    <w:rsid w:val="00F6553A"/>
    <w:rsid w:val="00F72B1E"/>
    <w:rsid w:val="00F72F76"/>
    <w:rsid w:val="00F7413E"/>
    <w:rsid w:val="00F93C06"/>
    <w:rsid w:val="00F945A4"/>
    <w:rsid w:val="00F94D61"/>
    <w:rsid w:val="00FA2757"/>
    <w:rsid w:val="00FB3A93"/>
    <w:rsid w:val="00FB6AFE"/>
    <w:rsid w:val="00FC44B2"/>
    <w:rsid w:val="00FE40A7"/>
    <w:rsid w:val="00FE5B4F"/>
    <w:rsid w:val="00FF2234"/>
    <w:rsid w:val="00FF5B11"/>
    <w:rsid w:val="04C335CE"/>
    <w:rsid w:val="05F61781"/>
    <w:rsid w:val="0AA71E5D"/>
    <w:rsid w:val="0D244E26"/>
    <w:rsid w:val="0D392C9B"/>
    <w:rsid w:val="1DC7377E"/>
    <w:rsid w:val="1ED13497"/>
    <w:rsid w:val="203A4EAE"/>
    <w:rsid w:val="20E81557"/>
    <w:rsid w:val="211114AF"/>
    <w:rsid w:val="2B8D3C2A"/>
    <w:rsid w:val="2C5434A2"/>
    <w:rsid w:val="2CD755B9"/>
    <w:rsid w:val="2DA44449"/>
    <w:rsid w:val="33356B65"/>
    <w:rsid w:val="43E86120"/>
    <w:rsid w:val="452958B4"/>
    <w:rsid w:val="4AA743C5"/>
    <w:rsid w:val="4C552ACC"/>
    <w:rsid w:val="4EEB5414"/>
    <w:rsid w:val="50C27833"/>
    <w:rsid w:val="51A10DFD"/>
    <w:rsid w:val="55D01C29"/>
    <w:rsid w:val="58A11B9D"/>
    <w:rsid w:val="5C8473B7"/>
    <w:rsid w:val="653C5ADF"/>
    <w:rsid w:val="69441901"/>
    <w:rsid w:val="6DC94D70"/>
    <w:rsid w:val="6E751922"/>
    <w:rsid w:val="71566079"/>
    <w:rsid w:val="73397A01"/>
    <w:rsid w:val="7A995532"/>
    <w:rsid w:val="7CD155F5"/>
    <w:rsid w:val="7EA078D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3"/>
    <w:unhideWhenUsed/>
    <w:qFormat/>
    <w:uiPriority w:val="99"/>
    <w:pPr>
      <w:jc w:val="left"/>
    </w:pPr>
  </w:style>
  <w:style w:type="paragraph" w:styleId="4">
    <w:name w:val="Plain Text"/>
    <w:basedOn w:val="1"/>
    <w:link w:val="20"/>
    <w:qFormat/>
    <w:uiPriority w:val="0"/>
    <w:rPr>
      <w:rFonts w:ascii="宋体" w:hAnsi="Courier New" w:cs="楷体_GB2312"/>
      <w:szCs w:val="21"/>
    </w:rPr>
  </w:style>
  <w:style w:type="paragraph" w:styleId="5">
    <w:name w:val="Balloon Text"/>
    <w:basedOn w:val="1"/>
    <w:link w:val="18"/>
    <w:semiHidden/>
    <w:unhideWhenUsed/>
    <w:qFormat/>
    <w:uiPriority w:val="99"/>
    <w:rPr>
      <w:sz w:val="18"/>
      <w:szCs w:val="18"/>
    </w:rPr>
  </w:style>
  <w:style w:type="paragraph" w:styleId="6">
    <w:name w:val="footer"/>
    <w:basedOn w:val="1"/>
    <w:link w:val="17"/>
    <w:unhideWhenUsed/>
    <w:qFormat/>
    <w:uiPriority w:val="0"/>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9"/>
    <w:qFormat/>
    <w:uiPriority w:val="0"/>
    <w:pPr>
      <w:spacing w:before="240" w:after="60"/>
      <w:jc w:val="center"/>
      <w:outlineLvl w:val="0"/>
    </w:pPr>
    <w:rPr>
      <w:rFonts w:ascii="Cambria" w:hAnsi="Cambria" w:cs="Times New Roman"/>
      <w:b/>
      <w:bCs/>
      <w:sz w:val="32"/>
      <w:szCs w:val="32"/>
    </w:rPr>
  </w:style>
  <w:style w:type="paragraph" w:styleId="9">
    <w:name w:val="annotation subject"/>
    <w:basedOn w:val="3"/>
    <w:next w:val="3"/>
    <w:link w:val="24"/>
    <w:semiHidden/>
    <w:unhideWhenUsed/>
    <w:qFormat/>
    <w:uiPriority w:val="99"/>
    <w:rPr>
      <w:b/>
      <w:bCs/>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semiHidden/>
    <w:unhideWhenUsed/>
    <w:qFormat/>
    <w:uiPriority w:val="99"/>
    <w:rPr>
      <w:sz w:val="21"/>
      <w:szCs w:val="21"/>
    </w:rPr>
  </w:style>
  <w:style w:type="paragraph" w:styleId="14">
    <w:name w:val="List Paragraph"/>
    <w:basedOn w:val="1"/>
    <w:qFormat/>
    <w:uiPriority w:val="99"/>
    <w:pPr>
      <w:ind w:firstLine="420" w:firstLineChars="200"/>
    </w:pPr>
    <w:rPr>
      <w:rFonts w:ascii="Times New Roman" w:hAnsi="Times New Roman" w:eastAsia="宋体" w:cs="Times New Roman"/>
      <w:szCs w:val="24"/>
    </w:rPr>
  </w:style>
  <w:style w:type="character" w:customStyle="1" w:styleId="15">
    <w:name w:val="标题 1 字符"/>
    <w:basedOn w:val="12"/>
    <w:link w:val="2"/>
    <w:qFormat/>
    <w:uiPriority w:val="9"/>
    <w:rPr>
      <w:b/>
      <w:bCs/>
      <w:kern w:val="44"/>
      <w:sz w:val="44"/>
      <w:szCs w:val="44"/>
    </w:rPr>
  </w:style>
  <w:style w:type="character" w:customStyle="1" w:styleId="16">
    <w:name w:val="页眉 字符"/>
    <w:basedOn w:val="12"/>
    <w:link w:val="7"/>
    <w:qFormat/>
    <w:uiPriority w:val="99"/>
    <w:rPr>
      <w:sz w:val="18"/>
      <w:szCs w:val="18"/>
    </w:rPr>
  </w:style>
  <w:style w:type="character" w:customStyle="1" w:styleId="17">
    <w:name w:val="页脚 字符"/>
    <w:basedOn w:val="12"/>
    <w:link w:val="6"/>
    <w:qFormat/>
    <w:uiPriority w:val="0"/>
    <w:rPr>
      <w:sz w:val="18"/>
      <w:szCs w:val="18"/>
    </w:rPr>
  </w:style>
  <w:style w:type="character" w:customStyle="1" w:styleId="18">
    <w:name w:val="批注框文本 字符"/>
    <w:basedOn w:val="12"/>
    <w:link w:val="5"/>
    <w:semiHidden/>
    <w:qFormat/>
    <w:uiPriority w:val="99"/>
    <w:rPr>
      <w:sz w:val="18"/>
      <w:szCs w:val="18"/>
    </w:rPr>
  </w:style>
  <w:style w:type="character" w:customStyle="1" w:styleId="19">
    <w:name w:val="标题 字符1"/>
    <w:basedOn w:val="12"/>
    <w:link w:val="8"/>
    <w:qFormat/>
    <w:uiPriority w:val="0"/>
    <w:rPr>
      <w:rFonts w:ascii="Cambria" w:hAnsi="Cambria" w:cs="Times New Roman"/>
      <w:b/>
      <w:bCs/>
      <w:sz w:val="32"/>
      <w:szCs w:val="32"/>
    </w:rPr>
  </w:style>
  <w:style w:type="character" w:customStyle="1" w:styleId="20">
    <w:name w:val="纯文本 字符1"/>
    <w:basedOn w:val="12"/>
    <w:link w:val="4"/>
    <w:qFormat/>
    <w:uiPriority w:val="0"/>
    <w:rPr>
      <w:rFonts w:ascii="宋体" w:hAnsi="Courier New" w:cs="楷体_GB2312"/>
      <w:szCs w:val="21"/>
    </w:rPr>
  </w:style>
  <w:style w:type="character" w:customStyle="1" w:styleId="21">
    <w:name w:val="纯文本 字符"/>
    <w:basedOn w:val="12"/>
    <w:semiHidden/>
    <w:qFormat/>
    <w:uiPriority w:val="99"/>
    <w:rPr>
      <w:rFonts w:hAnsi="Courier New" w:cs="Courier New" w:asciiTheme="minorEastAsia"/>
    </w:rPr>
  </w:style>
  <w:style w:type="character" w:customStyle="1" w:styleId="22">
    <w:name w:val="标题 字符"/>
    <w:basedOn w:val="12"/>
    <w:qFormat/>
    <w:uiPriority w:val="10"/>
    <w:rPr>
      <w:rFonts w:asciiTheme="majorHAnsi" w:hAnsiTheme="majorHAnsi" w:eastAsiaTheme="majorEastAsia" w:cstheme="majorBidi"/>
      <w:b/>
      <w:bCs/>
      <w:sz w:val="32"/>
      <w:szCs w:val="32"/>
    </w:rPr>
  </w:style>
  <w:style w:type="character" w:customStyle="1" w:styleId="23">
    <w:name w:val="批注文字 字符"/>
    <w:basedOn w:val="12"/>
    <w:link w:val="3"/>
    <w:qFormat/>
    <w:uiPriority w:val="99"/>
    <w:rPr>
      <w:kern w:val="2"/>
      <w:sz w:val="21"/>
      <w:szCs w:val="22"/>
    </w:rPr>
  </w:style>
  <w:style w:type="character" w:customStyle="1" w:styleId="24">
    <w:name w:val="批注主题 字符"/>
    <w:basedOn w:val="23"/>
    <w:link w:val="9"/>
    <w:semiHidden/>
    <w:qFormat/>
    <w:uiPriority w:val="99"/>
    <w:rPr>
      <w:b/>
      <w:bCs/>
      <w:kern w:val="2"/>
      <w:sz w:val="21"/>
      <w:szCs w:val="22"/>
    </w:rPr>
  </w:style>
  <w:style w:type="paragraph" w:customStyle="1" w:styleId="25">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2.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788</Words>
  <Characters>4493</Characters>
  <Lines>37</Lines>
  <Paragraphs>10</Paragraphs>
  <TotalTime>0</TotalTime>
  <ScaleCrop>false</ScaleCrop>
  <LinksUpToDate>false</LinksUpToDate>
  <CharactersWithSpaces>5271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2022-08-02T07:29:00Z</dcterms:created>
  <dc:creator>zhangjie0610</dc:creator>
  <cp:lastModifiedBy>没什么的未来</cp:lastModifiedBy>
  <cp:lastPrinted>2022-09-05T05:36:00Z</cp:lastPrinted>
  <dcterms:modified xsi:type="dcterms:W3CDTF">2023-08-25T10:04:12Z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D4C100AD5F7D455BA04A55CBE4B34E7C_13</vt:lpwstr>
  </property>
</Properties>
</file>